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rPr>
      </w:pPr>
      <w:r>
        <w:rPr>
          <w:rFonts w:hint="eastAsia" w:ascii="宋体" w:hAnsi="宋体"/>
          <w:b/>
          <w:sz w:val="32"/>
          <w:szCs w:val="32"/>
        </w:rPr>
        <w:t>合同范本（仅供参考）</w:t>
      </w:r>
    </w:p>
    <w:p>
      <w:pPr>
        <w:spacing w:line="360" w:lineRule="auto"/>
        <w:ind w:firstLine="482" w:firstLineChars="200"/>
        <w:rPr>
          <w:rFonts w:ascii="宋体" w:hAnsi="宋体"/>
          <w:b/>
          <w:color w:val="FF0000"/>
          <w:sz w:val="24"/>
        </w:rPr>
      </w:pPr>
    </w:p>
    <w:p>
      <w:pPr>
        <w:spacing w:line="500" w:lineRule="exact"/>
        <w:jc w:val="center"/>
        <w:rPr>
          <w:rFonts w:hint="eastAsia" w:ascii="仿宋" w:hAnsi="仿宋" w:eastAsia="仿宋" w:cs="宋体"/>
          <w:b/>
          <w:bCs/>
          <w:sz w:val="44"/>
          <w:szCs w:val="44"/>
          <w:lang w:eastAsia="zh-CN"/>
        </w:rPr>
      </w:pPr>
      <w:bookmarkStart w:id="0" w:name="OLE_LINK11"/>
      <w:r>
        <w:rPr>
          <w:rFonts w:hint="eastAsia" w:ascii="仿宋" w:hAnsi="仿宋" w:eastAsia="仿宋" w:cs="宋体"/>
          <w:b/>
          <w:bCs/>
          <w:sz w:val="44"/>
          <w:szCs w:val="44"/>
          <w:lang w:eastAsia="zh-CN"/>
        </w:rPr>
        <w:t>ETC发行服务系统2025年度业务软件功能完善项目</w:t>
      </w:r>
    </w:p>
    <w:p>
      <w:pPr>
        <w:spacing w:line="500" w:lineRule="exact"/>
        <w:jc w:val="center"/>
        <w:rPr>
          <w:rFonts w:hint="eastAsia" w:ascii="仿宋" w:hAnsi="仿宋" w:eastAsia="仿宋"/>
          <w:b/>
          <w:sz w:val="24"/>
          <w:lang w:eastAsia="zh-CN"/>
        </w:rPr>
      </w:pPr>
      <w:r>
        <w:rPr>
          <w:rFonts w:hint="eastAsia" w:ascii="仿宋" w:hAnsi="仿宋" w:eastAsia="仿宋"/>
          <w:b/>
          <w:sz w:val="24"/>
          <w:lang w:eastAsia="zh-CN"/>
        </w:rPr>
        <w:t>（本合同为参考文本，最终合同以甲乙双方协商签订的为准）</w:t>
      </w:r>
    </w:p>
    <w:p>
      <w:pPr>
        <w:pStyle w:val="2"/>
        <w:rPr>
          <w:rFonts w:hint="eastAsia" w:ascii="仿宋" w:hAnsi="仿宋" w:eastAsia="仿宋"/>
          <w:lang w:eastAsia="zh-CN"/>
        </w:rPr>
      </w:pPr>
    </w:p>
    <w:p>
      <w:pPr>
        <w:spacing w:line="500" w:lineRule="exact"/>
        <w:rPr>
          <w:rFonts w:hint="eastAsia" w:ascii="仿宋" w:hAnsi="仿宋" w:eastAsia="仿宋"/>
          <w:b/>
          <w:bCs/>
          <w:sz w:val="24"/>
          <w:szCs w:val="24"/>
          <w:lang w:eastAsia="zh-CN"/>
        </w:rPr>
      </w:pPr>
      <w:r>
        <w:rPr>
          <w:rFonts w:hint="eastAsia" w:ascii="仿宋" w:hAnsi="仿宋" w:eastAsia="仿宋" w:cs="宋体"/>
          <w:b/>
          <w:bCs/>
          <w:sz w:val="24"/>
          <w:szCs w:val="24"/>
          <w:lang w:eastAsia="zh-CN"/>
        </w:rPr>
        <w:t>委托单位：</w:t>
      </w:r>
      <w:r>
        <w:rPr>
          <w:rFonts w:hint="eastAsia" w:ascii="仿宋" w:hAnsi="仿宋" w:eastAsia="仿宋" w:cs="宋体"/>
          <w:b/>
          <w:bCs/>
          <w:sz w:val="24"/>
          <w:szCs w:val="24"/>
          <w:u w:val="single"/>
          <w:lang w:eastAsia="zh-CN"/>
        </w:rPr>
        <w:t>陕西省高速公路收费中心</w:t>
      </w:r>
      <w:r>
        <w:rPr>
          <w:rFonts w:hint="eastAsia" w:ascii="仿宋" w:hAnsi="仿宋" w:eastAsia="仿宋" w:cs="宋体"/>
          <w:b/>
          <w:bCs/>
          <w:sz w:val="24"/>
          <w:szCs w:val="24"/>
          <w:lang w:eastAsia="zh-CN"/>
        </w:rPr>
        <w:t>（以下称甲方）</w:t>
      </w:r>
    </w:p>
    <w:p>
      <w:pPr>
        <w:spacing w:line="500" w:lineRule="exact"/>
        <w:ind w:left="5301" w:hanging="5301" w:hangingChars="2200"/>
        <w:rPr>
          <w:rFonts w:hint="eastAsia" w:ascii="仿宋" w:hAnsi="仿宋" w:eastAsia="仿宋" w:cs="宋体"/>
          <w:b/>
          <w:bCs/>
          <w:sz w:val="24"/>
          <w:szCs w:val="24"/>
          <w:lang w:eastAsia="zh-CN"/>
        </w:rPr>
      </w:pPr>
      <w:r>
        <w:rPr>
          <w:rFonts w:hint="eastAsia" w:ascii="仿宋" w:hAnsi="仿宋" w:eastAsia="仿宋" w:cs="宋体"/>
          <w:b/>
          <w:bCs/>
          <w:sz w:val="24"/>
          <w:szCs w:val="24"/>
          <w:lang w:eastAsia="zh-CN"/>
        </w:rPr>
        <w:t>服务单位：（以下称乙方）</w:t>
      </w:r>
    </w:p>
    <w:p>
      <w:pPr>
        <w:pStyle w:val="2"/>
        <w:rPr>
          <w:rFonts w:hint="eastAsia" w:ascii="仿宋" w:hAnsi="仿宋" w:eastAsia="仿宋"/>
          <w:lang w:eastAsia="zh-CN"/>
        </w:rPr>
      </w:pP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依据《中华人民共和国民法典》和《中华人民共和国政府采购法》之规定，经双方在平等、自愿、互利的基础上，签订本合同，共同信守。</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一、项目名称、项目内容</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项目名称：ETC发行服务系统2025年度业务软件功能完善项目</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项目内容：ETC发行服务系统2025年度业务软件功能完善项目</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二、合同价款</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（一）甲方通过竞争性磋商方式，接受了乙方以总金额大写</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（￥小写</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 xml:space="preserve"> ） （以下简称“合同价”)提供合同条款附件所述服务。</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服务报酬中包括为完成服务内容可能发生的各项费用，包括但不限于人工费、车辆交通费、住宿费、管理费、办公、人员人身相关保险费、项目实施费用以及国家按现行税率征收的一切税费、不可抗力因素的可预见和不可预见费用等。</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（三）合同总价一次包死，不受市场价格、工作量变化等其它因素的影响。</w:t>
      </w:r>
    </w:p>
    <w:p>
      <w:pPr>
        <w:spacing w:line="500" w:lineRule="exact"/>
        <w:ind w:firstLine="480" w:firstLineChars="200"/>
        <w:rPr>
          <w:rFonts w:hint="eastAsia" w:ascii="仿宋" w:hAnsi="仿宋" w:eastAsia="仿宋" w:cs="宋体"/>
          <w:b/>
          <w:bCs/>
          <w:color w:val="auto"/>
          <w:sz w:val="24"/>
          <w:szCs w:val="24"/>
          <w:highlight w:val="none"/>
          <w:lang w:eastAsia="zh-CN"/>
        </w:rPr>
      </w:pPr>
      <w:r>
        <w:rPr>
          <w:rFonts w:hint="eastAsia" w:ascii="仿宋" w:hAnsi="仿宋" w:eastAsia="仿宋" w:cs="宋体"/>
          <w:color w:val="auto"/>
          <w:sz w:val="24"/>
          <w:szCs w:val="24"/>
          <w:highlight w:val="none"/>
          <w:lang w:eastAsia="zh-CN"/>
        </w:rPr>
        <w:t>三、款项结算</w:t>
      </w:r>
    </w:p>
    <w:p>
      <w:pPr>
        <w:spacing w:line="500" w:lineRule="exact"/>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val="en-US" w:eastAsia="zh-CN"/>
        </w:rPr>
        <w:t>1.</w:t>
      </w:r>
      <w:r>
        <w:rPr>
          <w:rFonts w:hint="eastAsia" w:ascii="仿宋" w:hAnsi="仿宋" w:eastAsia="仿宋" w:cs="宋体"/>
          <w:color w:val="auto"/>
          <w:sz w:val="24"/>
          <w:szCs w:val="24"/>
          <w:highlight w:val="none"/>
          <w:lang w:eastAsia="zh-CN"/>
        </w:rPr>
        <w:t>合同签订生效后，服务商按合同约定完成软件功能的需求设计并经采购人确认，达到付款条件起1</w:t>
      </w:r>
      <w:r>
        <w:rPr>
          <w:rFonts w:hint="eastAsia" w:ascii="仿宋" w:hAnsi="仿宋" w:eastAsia="仿宋" w:cs="宋体"/>
          <w:color w:val="auto"/>
          <w:sz w:val="24"/>
          <w:szCs w:val="24"/>
          <w:highlight w:val="none"/>
          <w:lang w:val="en-US" w:eastAsia="zh-CN"/>
        </w:rPr>
        <w:t>0</w:t>
      </w:r>
      <w:r>
        <w:rPr>
          <w:rFonts w:hint="eastAsia" w:ascii="仿宋" w:hAnsi="仿宋" w:eastAsia="仿宋" w:cs="宋体"/>
          <w:color w:val="auto"/>
          <w:sz w:val="24"/>
          <w:szCs w:val="24"/>
          <w:highlight w:val="none"/>
          <w:lang w:eastAsia="zh-CN"/>
        </w:rPr>
        <w:t>日内，支付合同总金额的</w:t>
      </w:r>
      <w:r>
        <w:rPr>
          <w:rFonts w:hint="eastAsia" w:ascii="仿宋" w:hAnsi="仿宋" w:eastAsia="仿宋" w:cs="宋体"/>
          <w:color w:val="auto"/>
          <w:sz w:val="24"/>
          <w:szCs w:val="24"/>
          <w:highlight w:val="none"/>
          <w:lang w:val="en-US" w:eastAsia="zh-CN"/>
        </w:rPr>
        <w:t>30</w:t>
      </w:r>
      <w:r>
        <w:rPr>
          <w:rFonts w:hint="eastAsia" w:ascii="仿宋" w:hAnsi="仿宋" w:eastAsia="仿宋" w:cs="宋体"/>
          <w:color w:val="auto"/>
          <w:sz w:val="24"/>
          <w:szCs w:val="24"/>
          <w:highlight w:val="none"/>
          <w:lang w:eastAsia="zh-CN"/>
        </w:rPr>
        <w:t>%。</w:t>
      </w:r>
    </w:p>
    <w:p>
      <w:pPr>
        <w:spacing w:line="500" w:lineRule="exact"/>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服务功能开发完成并上线试运行并经采购人确认，达到付款条件起1</w:t>
      </w:r>
      <w:r>
        <w:rPr>
          <w:rFonts w:hint="eastAsia" w:ascii="仿宋" w:hAnsi="仿宋" w:eastAsia="仿宋" w:cs="宋体"/>
          <w:color w:val="auto"/>
          <w:sz w:val="24"/>
          <w:szCs w:val="24"/>
          <w:highlight w:val="none"/>
          <w:lang w:val="en-US" w:eastAsia="zh-CN"/>
        </w:rPr>
        <w:t>0</w:t>
      </w:r>
      <w:r>
        <w:rPr>
          <w:rFonts w:hint="eastAsia" w:ascii="仿宋" w:hAnsi="仿宋" w:eastAsia="仿宋" w:cs="宋体"/>
          <w:color w:val="auto"/>
          <w:sz w:val="24"/>
          <w:szCs w:val="24"/>
          <w:highlight w:val="none"/>
          <w:lang w:eastAsia="zh-CN"/>
        </w:rPr>
        <w:t>日内，支付合同总金额的</w:t>
      </w:r>
      <w:r>
        <w:rPr>
          <w:rFonts w:hint="eastAsia" w:ascii="仿宋" w:hAnsi="仿宋" w:eastAsia="仿宋" w:cs="宋体"/>
          <w:color w:val="auto"/>
          <w:sz w:val="24"/>
          <w:szCs w:val="24"/>
          <w:highlight w:val="none"/>
          <w:lang w:val="en-US" w:eastAsia="zh-CN"/>
        </w:rPr>
        <w:t>35</w:t>
      </w:r>
      <w:r>
        <w:rPr>
          <w:rFonts w:hint="eastAsia" w:ascii="仿宋" w:hAnsi="仿宋" w:eastAsia="仿宋" w:cs="宋体"/>
          <w:color w:val="auto"/>
          <w:sz w:val="24"/>
          <w:szCs w:val="24"/>
          <w:highlight w:val="none"/>
          <w:lang w:eastAsia="zh-CN"/>
        </w:rPr>
        <w:t>%。</w:t>
      </w:r>
    </w:p>
    <w:p>
      <w:pPr>
        <w:spacing w:line="500" w:lineRule="exact"/>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试运行结束并验收合格后，达到付款条件起1</w:t>
      </w:r>
      <w:r>
        <w:rPr>
          <w:rFonts w:hint="eastAsia" w:ascii="仿宋" w:hAnsi="仿宋" w:eastAsia="仿宋" w:cs="宋体"/>
          <w:color w:val="auto"/>
          <w:sz w:val="24"/>
          <w:szCs w:val="24"/>
          <w:highlight w:val="none"/>
          <w:lang w:val="en-US" w:eastAsia="zh-CN"/>
        </w:rPr>
        <w:t>0</w:t>
      </w:r>
      <w:r>
        <w:rPr>
          <w:rFonts w:hint="eastAsia" w:ascii="仿宋" w:hAnsi="仿宋" w:eastAsia="仿宋" w:cs="宋体"/>
          <w:color w:val="auto"/>
          <w:sz w:val="24"/>
          <w:szCs w:val="24"/>
          <w:highlight w:val="none"/>
          <w:lang w:eastAsia="zh-CN"/>
        </w:rPr>
        <w:t>日内，支付合同总金额的</w:t>
      </w:r>
      <w:r>
        <w:rPr>
          <w:rFonts w:hint="eastAsia" w:ascii="仿宋" w:hAnsi="仿宋" w:eastAsia="仿宋" w:cs="宋体"/>
          <w:color w:val="auto"/>
          <w:sz w:val="24"/>
          <w:szCs w:val="24"/>
          <w:highlight w:val="none"/>
          <w:lang w:val="en-US" w:eastAsia="zh-CN"/>
        </w:rPr>
        <w:t>35</w:t>
      </w:r>
      <w:r>
        <w:rPr>
          <w:rFonts w:hint="eastAsia" w:ascii="仿宋" w:hAnsi="仿宋" w:eastAsia="仿宋" w:cs="宋体"/>
          <w:color w:val="auto"/>
          <w:sz w:val="24"/>
          <w:szCs w:val="24"/>
          <w:highlight w:val="none"/>
          <w:lang w:eastAsia="zh-CN"/>
        </w:rPr>
        <w:t>%。</w:t>
      </w:r>
    </w:p>
    <w:p>
      <w:pPr>
        <w:spacing w:line="500" w:lineRule="exact"/>
        <w:ind w:firstLine="480" w:firstLineChars="200"/>
        <w:rPr>
          <w:rFonts w:hint="eastAsia" w:ascii="仿宋" w:hAnsi="仿宋" w:eastAsia="仿宋" w:cs="宋体"/>
          <w:color w:val="auto"/>
          <w:sz w:val="24"/>
          <w:szCs w:val="24"/>
          <w:highlight w:val="none"/>
          <w:lang w:eastAsia="zh-CN"/>
        </w:rPr>
      </w:pPr>
      <w:r>
        <w:rPr>
          <w:rFonts w:hint="eastAsia" w:ascii="仿宋" w:hAnsi="仿宋" w:eastAsia="仿宋" w:cs="宋体"/>
          <w:color w:val="auto"/>
          <w:sz w:val="24"/>
          <w:szCs w:val="24"/>
          <w:highlight w:val="none"/>
          <w:lang w:eastAsia="zh-CN"/>
        </w:rPr>
        <w:t>2.乙方须向甲方出具合法有效的等额</w:t>
      </w:r>
      <w:r>
        <w:rPr>
          <w:rFonts w:hint="eastAsia" w:ascii="仿宋" w:hAnsi="仿宋" w:eastAsia="仿宋" w:cs="宋体"/>
          <w:color w:val="auto"/>
          <w:sz w:val="24"/>
          <w:szCs w:val="24"/>
          <w:highlight w:val="none"/>
          <w:lang w:val="en-US" w:eastAsia="zh-CN"/>
        </w:rPr>
        <w:t>发</w:t>
      </w:r>
      <w:r>
        <w:rPr>
          <w:rFonts w:hint="eastAsia" w:ascii="仿宋" w:hAnsi="仿宋" w:eastAsia="仿宋" w:cs="宋体"/>
          <w:color w:val="auto"/>
          <w:sz w:val="24"/>
          <w:szCs w:val="24"/>
          <w:highlight w:val="none"/>
          <w:lang w:eastAsia="zh-CN"/>
        </w:rPr>
        <w:t>票，甲方进行支付结算。</w:t>
      </w:r>
    </w:p>
    <w:p>
      <w:pPr>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3.结算方式：银行转账。</w:t>
      </w:r>
    </w:p>
    <w:p>
      <w:pPr>
        <w:spacing w:line="500" w:lineRule="exact"/>
        <w:ind w:left="239" w:leftChars="114" w:firstLine="240" w:firstLineChars="1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四、服务条件</w:t>
      </w:r>
    </w:p>
    <w:p>
      <w:pPr>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（一）服务地点：陕西省高速公路收费中心</w:t>
      </w:r>
    </w:p>
    <w:p>
      <w:pPr>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（二）</w:t>
      </w:r>
      <w:r>
        <w:rPr>
          <w:rFonts w:hint="eastAsia" w:ascii="仿宋" w:hAnsi="仿宋" w:eastAsia="仿宋" w:cs="宋体"/>
          <w:color w:val="auto"/>
          <w:sz w:val="24"/>
          <w:szCs w:val="24"/>
          <w:highlight w:val="none"/>
          <w:lang w:eastAsia="zh-CN"/>
        </w:rPr>
        <w:t>服务期：</w:t>
      </w:r>
      <w:bookmarkStart w:id="1" w:name="OLE_LINK40"/>
      <w:r>
        <w:rPr>
          <w:rFonts w:hint="eastAsia" w:ascii="仿宋" w:hAnsi="仿宋" w:eastAsia="仿宋" w:cs="宋体"/>
          <w:color w:val="auto"/>
          <w:sz w:val="24"/>
          <w:szCs w:val="24"/>
          <w:highlight w:val="none"/>
          <w:lang w:eastAsia="zh-CN"/>
        </w:rPr>
        <w:t>合同签订生效后，30日内完成软件功能的需求设计，60日内完成软件功能开发、测试和部署。上线试运行期30日。</w:t>
      </w:r>
      <w:bookmarkEnd w:id="1"/>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（三）乙方指派的项目负责人为</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，性别</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，身份证号</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，联系电话</w:t>
      </w:r>
      <w:r>
        <w:rPr>
          <w:rFonts w:hint="eastAsia" w:ascii="仿宋" w:hAnsi="仿宋" w:eastAsia="仿宋" w:cs="宋体"/>
          <w:sz w:val="24"/>
          <w:szCs w:val="24"/>
          <w:u w:val="single"/>
          <w:lang w:eastAsia="zh-CN"/>
        </w:rPr>
        <w:t xml:space="preserve">        </w:t>
      </w:r>
      <w:r>
        <w:rPr>
          <w:rFonts w:hint="eastAsia" w:ascii="仿宋" w:hAnsi="仿宋" w:eastAsia="仿宋" w:cs="宋体"/>
          <w:sz w:val="24"/>
          <w:szCs w:val="24"/>
          <w:lang w:eastAsia="zh-CN"/>
        </w:rPr>
        <w:t>。</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五、甲乙双方权利义务</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（一）甲方的权利义务</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1、甲方有权指派专门人员或者单位对乙方的工作进行全程监督检查、管理、明确员工职责范围，对工作中不负责任、违反管理规定的人员，有权提出辞退要求，情况属实，服务商应无条件予以执行。</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2、如果乙方不按甲方规定时限完成各阶段工作任务，给甲方工作开展造成延误及损失，则甲方有权终止合同。</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3、为保证乙方顺利履行职责，甲方应当主动、客观、真实的向乙方提供与业务有关的情况和资料。</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4、按本合同约定向乙方支付合同价款。</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（二）乙方的权利义务</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1.按合同要求向甲方派出合格的服务人员，依据岗位职责结合采购人交予的任务执行服务工作；遵守采购人制定的各项规章制度。</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2.乙方应当严格按照国家有关法法律法规政策及规定，为甲方提供服务，维护甲方的合法权益，乙方工作人员如不履行职责、不履行甲乙双方的约定，甲方有权向乙方提出更换。</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3.未经甲方同意，乙方不得将项目分包给其它单位或个人。</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4.乙方定期征求采购人的意见，以便及时沟通并做好服务工作，及时报告工作进度，在规定时间内完成相应的项目建设工作。</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5.甲方在工作质量、工作进度、工作内容等方面提出意见及建议，乙方应及时响应并有效改进；</w:t>
      </w:r>
    </w:p>
    <w:p>
      <w:pPr>
        <w:tabs>
          <w:tab w:val="left" w:pos="7665"/>
        </w:tabs>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6、在未正式验收前，如政策发生变化，中标供应商须符合国家相应政策完善服务项目。</w:t>
      </w:r>
    </w:p>
    <w:p>
      <w:pPr>
        <w:tabs>
          <w:tab w:val="left" w:pos="7665"/>
        </w:tabs>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7、保密要求</w:t>
      </w:r>
    </w:p>
    <w:p>
      <w:pPr>
        <w:tabs>
          <w:tab w:val="left" w:pos="7665"/>
        </w:tabs>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项目实施过程中所收集、产生的所有与本项目相关的文档、资料，包括文字、图片、表格、数字等各种形式的所属权均归属</w:t>
      </w:r>
      <w:r>
        <w:rPr>
          <w:rFonts w:hint="eastAsia" w:ascii="仿宋" w:hAnsi="仿宋" w:eastAsia="仿宋" w:cs="宋体"/>
          <w:sz w:val="24"/>
          <w:szCs w:val="24"/>
          <w:highlight w:val="none"/>
          <w:lang w:val="en-US" w:eastAsia="zh-CN"/>
        </w:rPr>
        <w:t>采购人</w:t>
      </w:r>
      <w:r>
        <w:rPr>
          <w:rFonts w:hint="eastAsia" w:ascii="仿宋" w:hAnsi="仿宋" w:eastAsia="仿宋" w:cs="宋体"/>
          <w:sz w:val="24"/>
          <w:szCs w:val="24"/>
          <w:highlight w:val="none"/>
          <w:lang w:eastAsia="zh-CN"/>
        </w:rPr>
        <w:t>，供应商必须对所涉及到的内容保密，供应商及服务人员应按照要求签署保密协议。</w:t>
      </w:r>
    </w:p>
    <w:p>
      <w:pPr>
        <w:numPr>
          <w:ilvl w:val="0"/>
          <w:numId w:val="1"/>
        </w:numPr>
        <w:tabs>
          <w:tab w:val="left" w:pos="7665"/>
        </w:tabs>
        <w:spacing w:line="500" w:lineRule="exact"/>
        <w:ind w:firstLine="480" w:firstLineChars="200"/>
        <w:rPr>
          <w:rFonts w:hint="eastAsia" w:ascii="仿宋" w:hAnsi="仿宋" w:eastAsia="仿宋" w:cs="宋体"/>
          <w:sz w:val="24"/>
          <w:szCs w:val="24"/>
          <w:highlight w:val="none"/>
          <w:lang w:eastAsia="zh-CN"/>
        </w:rPr>
      </w:pPr>
      <w:r>
        <w:rPr>
          <w:rFonts w:hint="eastAsia" w:ascii="仿宋" w:hAnsi="仿宋" w:eastAsia="仿宋" w:cs="宋体"/>
          <w:sz w:val="24"/>
          <w:szCs w:val="24"/>
          <w:highlight w:val="none"/>
          <w:lang w:eastAsia="zh-CN"/>
        </w:rPr>
        <w:t>违约责任</w:t>
      </w:r>
    </w:p>
    <w:p>
      <w:pPr>
        <w:tabs>
          <w:tab w:val="left" w:pos="7665"/>
        </w:tabs>
        <w:adjustRightInd w:val="0"/>
        <w:snapToGrid w:val="0"/>
        <w:spacing w:line="500" w:lineRule="exact"/>
        <w:ind w:firstLine="480" w:firstLineChars="200"/>
        <w:jc w:val="left"/>
        <w:rPr>
          <w:rFonts w:hint="eastAsia" w:ascii="仿宋" w:hAnsi="仿宋" w:eastAsia="仿宋" w:cs="宋体"/>
          <w:sz w:val="24"/>
          <w:szCs w:val="24"/>
        </w:rPr>
      </w:pPr>
      <w:r>
        <w:rPr>
          <w:rFonts w:hint="eastAsia" w:ascii="仿宋" w:hAnsi="仿宋" w:eastAsia="仿宋" w:cs="宋体"/>
          <w:sz w:val="24"/>
          <w:szCs w:val="24"/>
        </w:rPr>
        <w:t>1、按《中华人民共和国民法典》中的相关条款执行。</w:t>
      </w:r>
    </w:p>
    <w:p>
      <w:pPr>
        <w:tabs>
          <w:tab w:val="left" w:pos="7665"/>
        </w:tabs>
        <w:adjustRightInd w:val="0"/>
        <w:snapToGrid w:val="0"/>
        <w:spacing w:line="500" w:lineRule="exact"/>
        <w:ind w:firstLine="480" w:firstLineChars="200"/>
        <w:jc w:val="left"/>
        <w:rPr>
          <w:rFonts w:hint="eastAsia" w:ascii="仿宋" w:hAnsi="仿宋" w:eastAsia="仿宋" w:cs="宋体"/>
          <w:sz w:val="24"/>
          <w:szCs w:val="24"/>
        </w:rPr>
      </w:pPr>
      <w:r>
        <w:rPr>
          <w:rFonts w:hint="eastAsia" w:ascii="仿宋" w:hAnsi="仿宋" w:eastAsia="仿宋" w:cs="宋体"/>
          <w:sz w:val="24"/>
          <w:szCs w:val="24"/>
        </w:rPr>
        <w:t>2、未按合同要求提供服务或服务质量不能满足技术要求的，甲方有权终止合同，并要求乙方按照双方合同约定违约条款承担违约责任。</w:t>
      </w:r>
    </w:p>
    <w:p>
      <w:pPr>
        <w:spacing w:line="500" w:lineRule="exact"/>
        <w:ind w:firstLine="480" w:firstLineChars="200"/>
        <w:rPr>
          <w:rFonts w:hint="eastAsia"/>
          <w:lang w:eastAsia="zh-CN"/>
        </w:rPr>
      </w:pPr>
      <w:r>
        <w:rPr>
          <w:rFonts w:hint="eastAsia" w:ascii="仿宋" w:hAnsi="仿宋" w:eastAsia="仿宋" w:cs="宋体"/>
          <w:sz w:val="24"/>
          <w:szCs w:val="24"/>
        </w:rPr>
        <w:t>3、因乙方违约造成甲方损失的，由乙方承担全部的损失赔偿责任，包括但不限于直接经济损失及甲方因此开支的交通费、公证费、鉴定费、诉讼费、仲裁费、律师费、保全费、保全保险费等一切费用</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七、合同争议解决的方式</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本合同在履行过程中发生的争议，由甲、乙双方当事人协商解决，协商不成的按下列第（二）种方式解决：</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（一）提交仲裁委员会仲裁；</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（二）依法向甲方所在地人民法院起诉。</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八、合同生效</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（一）本协议一经生效，双方均应严格遵守；如有违约，守约方可依照《中华人民共和国民法典》及有关法律、法规规定，追究违约方的法律责任。</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（二）本协议未尽事宜双方可另行协商，签订补充协议。</w:t>
      </w:r>
    </w:p>
    <w:p>
      <w:pPr>
        <w:spacing w:line="500" w:lineRule="exact"/>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九、本协议一式捌份，甲乙双方各执肆份，具有同等法律效力。</w:t>
      </w:r>
    </w:p>
    <w:bookmarkEnd w:id="0"/>
    <w:p>
      <w:pPr>
        <w:rPr>
          <w:lang w:eastAsia="zh-CN"/>
        </w:rPr>
      </w:pPr>
    </w:p>
    <w:p>
      <w:pPr>
        <w:rPr>
          <w:rFonts w:eastAsiaTheme="minorEastAsia"/>
          <w:lang w:eastAsia="zh-CN"/>
        </w:rPr>
      </w:pPr>
    </w:p>
    <w:p>
      <w:pPr>
        <w:rPr>
          <w:rFonts w:eastAsiaTheme="minorEastAsia"/>
          <w:lang w:eastAsia="zh-CN"/>
        </w:rPr>
      </w:pPr>
      <w:r>
        <w:rPr>
          <w:rFonts w:eastAsiaTheme="minorEastAsia"/>
          <w:lang w:eastAsia="zh-CN"/>
        </w:rPr>
        <w:br w:type="page"/>
      </w:r>
    </w:p>
    <w:p>
      <w:pPr>
        <w:keepNext w:val="0"/>
        <w:keepLines w:val="0"/>
        <w:pageBreakBefore w:val="0"/>
        <w:kinsoku/>
        <w:wordWrap/>
        <w:overflowPunct/>
        <w:topLinePunct w:val="0"/>
        <w:bidi w:val="0"/>
        <w:spacing w:line="240" w:lineRule="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ko-KR" w:eastAsia="ko-KR" w:bidi="ar-SA"/>
          <w14:textFill>
            <w14:solidFill>
              <w14:schemeClr w14:val="tx1"/>
            </w14:solidFill>
          </w14:textFill>
        </w:rPr>
        <w:t>附件</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w:t>
      </w:r>
    </w:p>
    <w:p>
      <w:pPr>
        <w:spacing w:line="240" w:lineRule="auto"/>
        <w:ind w:left="0" w:leftChars="0" w:firstLine="0" w:firstLineChars="0"/>
        <w:jc w:val="center"/>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网络安全责任协议</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80" w:firstLineChars="200"/>
        <w:jc w:val="both"/>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陕西省高速公路收费中心（以下简称“甲方”）委托</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以下简称“乙方”）进行运维服务，为加强信息系统网络安全管理工作，保障系统安全稳定运行，按照《中华人民共和国网络安全法》规定，网络安全等级保护及部、省网络安全有关要求，结合《陕西省高速公路收费中心信息系统网络安全管理办法》，经甲乙双方友好协商，签订本网络安全责任协议：</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第一条 术语定义</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1.本协议甲方关键岗位为系统管理员、安全管理员、审计管理员。</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2.本协议乙方关键岗位为参与系统设计、开发、测试、运维等系统全生命周期的所有相关人员。</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第二条 总体要求</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双方要贯彻落实网络安全法律法规，认真执行交通运输部、省委省政府、省交通运输厅和甲方的网络安全规章制度，</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落实网络安全责任，把网络安全工作纳入重要工作，明确网络安全关键岗位人员及职责，开展关键岗位人员背景审查，与关键岗位人员签订网络安全责任书和保密协议，共同保障系统安全稳定运行。</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第三条 建设要求</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1.新建、升级改造的系统，乙方提供的硬件、软件和服务，要符合国家法律、行政法规的规定以及强制性国家标准要求，并通过权威机构的安全认证。</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新建、升级改造的系统或现有系统新增功能上线前，乙方要委托具有网络安全相关专业能力的机构进行安全检测，安全检测要至少包括系统部署环境评估、安全漏洞扫描、基线配置核查、渗透测试、代码安全审计五方面内容，出具安全检测报告，向甲方报送安全检测报告并提供系统资产清单（所有运行需要使用的软件、插件、进程、IP、端口等）后，系统或新增功能方可正式上线。</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3.乙方要严格按照软件工程规范、系统安全需求进行业务应用系统设计开发，不得在程序代码中植入后门、隐蔽信道和恶意代码，同时要关闭高危端口，与业务无关的端口、进程和服务。</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第四条 服务要求</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1.乙方要制定完善网络安全服务规范，建立更新系统资产台账，形成系统网络拓扑图，清理已被替换的老旧系统、未关停的测试系统、废弃无用系统等“僵尸系统”，确保资产信息全面准确。</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要定期开展系统网络安全意识教育和专业技能培训，提升工作人员网络安全意识和技能，从事甲方安全服务人员要具备漏洞检测、策略配置、加固整改、安全监测等技术能力，能够熟练使用网络安全常见产品和工具。</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3.乙方要定期开展漏洞扫描、配置核查、渗透测试等系统自查行动，建立漏洞隐患清单，彻底消除口令问题，严格密码存储管理要求，确保中高危隐患清零。</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4.乙方要保存系统基础配置信息，留存的系统相关日志不少于六个月，并定期对日志进行审计分析，严格控制运维工具使用，规范日常运维操作行为，形成运维过程相应表单记录。</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5.乙方要及时清理离职离岗人员权限，按照最小化原则进行账号授权，及时升级安装最新补丁和杀毒软件，确保系统软件升至最新版本。</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6.乙方要加强系统介质管理，严格介质使用要求，杜绝专网设备违规外联，严格边界访问控制，定期核查优化安全策略。</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7.乙方要严格落实国家和行业对数据和个人信息保护相关要求，建立数据访问管理清单，做好数据备份存储工作，定期检查数据有效性，采取脱敏处理及存储加密等安全措施，确保个人信息安全。</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8.乙方要加强系统安全风险预警响应，积极利用已有监测方式、第三方监测手段或自行开发的脚本，做好系统异常行为监测，及时处置告警信息，确保系统正常运行。</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第五条 责任追究</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若乙方未落实本网络安全责任协议内容或因防护不当、未及时发现攻击行为，造成部、省、公安、网信等有关部门通报，发现并通报1次，扣除服务费5000元；造成网络安全事件时，将按照国家，部、省、甲方等网络安全相关规定，根据造成的实际损失、影响，上报有关部门，同时进行责任追究。</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第六条 争议解决</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双方友好协商解决本协议中的争议。协商不成的，任何一方都有权向甲方所在地人民法院提起诉讼。</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第七条 法律适用、协议文本及效力和变更</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1.本协议适用中华人民共和国的法律。</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2.本协议未尽事宜按国家有关法律法规、行业和甲方有关规定执行。</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3.本协议的任何修改必须经过双方协商一致，并以书面方式确认方为有效。</w:t>
      </w:r>
    </w:p>
    <w:p>
      <w:pPr>
        <w:pStyle w:val="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4.本协议经双方法定代表人、负责人或</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授权代表</w:t>
      </w:r>
      <w:r>
        <w:rPr>
          <w:rFonts w:hint="eastAsia" w:ascii="宋体" w:hAnsi="宋体" w:eastAsia="宋体" w:cs="宋体"/>
          <w:color w:val="000000" w:themeColor="text1"/>
          <w:sz w:val="24"/>
          <w:szCs w:val="24"/>
          <w:highlight w:val="none"/>
          <w14:textFill>
            <w14:solidFill>
              <w14:schemeClr w14:val="tx1"/>
            </w14:solidFill>
          </w14:textFill>
        </w:rPr>
        <w:t>签字并加盖单位公章后生效。</w:t>
      </w:r>
    </w:p>
    <w:p>
      <w:pP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br w:type="page"/>
      </w:r>
    </w:p>
    <w:p>
      <w:pPr>
        <w:keepNext w:val="0"/>
        <w:keepLines w:val="0"/>
        <w:pageBreakBefore w:val="0"/>
        <w:kinsoku/>
        <w:wordWrap/>
        <w:overflowPunct/>
        <w:topLinePunct w:val="0"/>
        <w:bidi w:val="0"/>
        <w:spacing w:line="240" w:lineRule="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ko-KR" w:eastAsia="ko-KR" w:bidi="ar-SA"/>
          <w14:textFill>
            <w14:solidFill>
              <w14:schemeClr w14:val="tx1"/>
            </w14:solidFill>
          </w14:textFill>
        </w:rPr>
        <w:t>附件</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w:t>
      </w:r>
    </w:p>
    <w:p>
      <w:pPr>
        <w:spacing w:line="240" w:lineRule="auto"/>
        <w:jc w:val="center"/>
        <w:rPr>
          <w:rFonts w:hint="eastAsia" w:ascii="仿宋_GB2312" w:hAnsi="仿宋_GB2312" w:eastAsia="仿宋_GB2312" w:cs="仿宋_GB2312"/>
          <w:b/>
          <w:bCs/>
          <w:color w:val="000000" w:themeColor="text1"/>
          <w:sz w:val="32"/>
          <w:szCs w:val="32"/>
          <w:highlight w:val="none"/>
          <w:lang w:val="ko-KR" w:eastAsia="ko-KR"/>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ko-KR" w:eastAsia="ko-KR"/>
          <w14:textFill>
            <w14:solidFill>
              <w14:schemeClr w14:val="tx1"/>
            </w14:solidFill>
          </w14:textFill>
        </w:rPr>
        <w:t>保 密 协 议</w:t>
      </w:r>
    </w:p>
    <w:p>
      <w:pPr>
        <w:spacing w:line="240" w:lineRule="auto"/>
        <w:ind w:firstLine="400"/>
        <w:rPr>
          <w:rFonts w:hint="eastAsia" w:ascii="宋体" w:hAnsi="宋体" w:eastAsia="宋体" w:cs="宋体"/>
          <w:color w:val="000000" w:themeColor="text1"/>
          <w:sz w:val="24"/>
          <w:szCs w:val="24"/>
          <w:highlight w:val="none"/>
          <w:lang w:eastAsia="zh-CN"/>
          <w14:textFill>
            <w14:solidFill>
              <w14:schemeClr w14:val="tx1"/>
            </w14:solidFill>
          </w14:textFill>
        </w:rPr>
      </w:pPr>
    </w:p>
    <w:p>
      <w:pPr>
        <w:spacing w:line="240" w:lineRule="auto"/>
        <w:ind w:firstLine="560"/>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甲方与乙方签订《</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合同</w:t>
      </w:r>
      <w:r>
        <w:rPr>
          <w:rFonts w:hint="eastAsia" w:ascii="宋体" w:hAnsi="宋体" w:eastAsia="宋体" w:cs="宋体"/>
          <w:color w:val="000000" w:themeColor="text1"/>
          <w:sz w:val="24"/>
          <w:szCs w:val="24"/>
          <w:highlight w:val="none"/>
          <w:lang w:eastAsia="zh-CN"/>
          <w14:textFill>
            <w14:solidFill>
              <w14:schemeClr w14:val="tx1"/>
            </w14:solidFill>
          </w14:textFill>
        </w:rPr>
        <w:t>》。为了在项目实施的过程中，使甲乙双方的保密信息、知识产权和相关的合同信息不受到侵害。为此甲、乙双方在履行本协议时，均应遵守《中华人民共和国保守国家秘密法》和《反不正当竞争法》等法律规定，并严格按照以下条款规定开展工作：</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一、保密内容</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（一）乙方需要保密内容：乙方在履行合同的过程中所获悉的甲方提供的系统信息资产台账、系统网络拓扑信息、系统配置信息、系统运行的数据等，以及经甲方声明需要保密信息。</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（二）甲方需要保密内容：乙方在系统运维服务中使用的流程、方法以及乙方声明需要保密的其他信息。</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二、保密信息的使用</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（一）甲方应指定专门的项目协调人员配合乙方工作，乙方在履行合同过程中如需了解或获取甲方相关资料或信息，应向甲方项目协调人员索取。</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（二）甲方项目协调人员应做好保密信息管理及调研情况的记录工作，乙方应予以配合。</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（三）乙方可按以下方式获取信息</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ko-KR" w:eastAsia="ko-KR"/>
          <w14:textFill>
            <w14:solidFill>
              <w14:schemeClr w14:val="tx1"/>
            </w14:solidFill>
          </w14:textFill>
        </w:rPr>
        <w:t>书面、交付项目、启动信息存取（如存在数据库中的信息）。</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三、保密的范围</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（一）乙方只在本项目需要时才能使用甲方提供的秘密信息。乙方应将甲方提供信息的使用限制在与本项目有关的人员、保密协议签署者范围内。</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（二）甲方应将乙方在本项目中使用到的流程和方法等技术信息限制在与本项目有关的人员、保密协议签署者范围内。</w:t>
      </w:r>
    </w:p>
    <w:p>
      <w:pPr>
        <w:spacing w:line="240" w:lineRule="auto"/>
        <w:ind w:firstLine="562"/>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四、保密义务</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（一）未经许可不得获取对方与本次工作无关的秘密信息；</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（二）不得向任何第三方披露、转让或协助使用上述秘密信息；</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（三）如发现上述秘密被泄露或者自己过失泄露，应当采取有效措施防止泄密进一步扩大，并及时向对方报告；</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（四）凡未经对方书面同意，一方以直接、间接、书面、口头等形式为第三方提供第一条保密内容的行为均属违反保密义务的行为。但以下情况不属于违反保密义务：</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lang w:val="ko-KR" w:eastAsia="ko-KR"/>
          <w14:textFill>
            <w14:solidFill>
              <w14:schemeClr w14:val="tx1"/>
            </w14:solidFill>
          </w14:textFill>
        </w:rPr>
        <w:t>获取或披露一方已公开发表，或已为公众所知的信息；</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lang w:val="ko-KR" w:eastAsia="ko-KR"/>
          <w14:textFill>
            <w14:solidFill>
              <w14:schemeClr w14:val="tx1"/>
            </w14:solidFill>
          </w14:textFill>
        </w:rPr>
        <w:t>获取或披露一方已书面授权公开的信息；</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lang w:val="ko-KR" w:eastAsia="ko-KR"/>
          <w14:textFill>
            <w14:solidFill>
              <w14:schemeClr w14:val="tx1"/>
            </w14:solidFill>
          </w14:textFill>
        </w:rPr>
        <w:t>获取的信息属于一方通过合法手段从第三方在未受到任何限制的情况下获得的；</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lang w:val="ko-KR" w:eastAsia="ko-KR"/>
          <w14:textFill>
            <w14:solidFill>
              <w14:schemeClr w14:val="tx1"/>
            </w14:solidFill>
          </w14:textFill>
        </w:rPr>
        <w:t>根据法律、法规，司法或行政命令的要求向有关国家机关提供他方的秘密信息，提供前必须经过双方的书面认可。</w:t>
      </w:r>
      <w:r>
        <w:rPr>
          <w:rFonts w:hint="eastAsia" w:ascii="宋体" w:hAnsi="宋体" w:eastAsia="宋体" w:cs="宋体"/>
          <w:color w:val="000000" w:themeColor="text1"/>
          <w:sz w:val="24"/>
          <w:szCs w:val="24"/>
          <w:highlight w:val="none"/>
          <w:lang w:eastAsia="zh-CN"/>
          <w14:textFill>
            <w14:solidFill>
              <w14:schemeClr w14:val="tx1"/>
            </w14:solidFill>
          </w14:textFill>
        </w:rPr>
        <w:tab/>
      </w:r>
      <w:r>
        <w:rPr>
          <w:rFonts w:hint="eastAsia" w:ascii="宋体" w:hAnsi="宋体" w:eastAsia="宋体" w:cs="宋体"/>
          <w:color w:val="000000" w:themeColor="text1"/>
          <w:sz w:val="24"/>
          <w:szCs w:val="24"/>
          <w:highlight w:val="none"/>
          <w:lang w:eastAsia="zh-CN"/>
          <w14:textFill>
            <w14:solidFill>
              <w14:schemeClr w14:val="tx1"/>
            </w14:solidFill>
          </w14:textFill>
        </w:rPr>
        <w:tab/>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五、保密期限</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甲、乙双方确认，双方的保密义务从本协议签署之日起生效。自本合同生效之日起算，保密期限为无限期。</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六、违约责任</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（一）如果一方不履行本协议第四条所规定的保密义务，应当承担给对方造成的直接损失的赔偿责任，并承担合同金额</w:t>
      </w:r>
      <w:r>
        <w:rPr>
          <w:rFonts w:hint="eastAsia" w:ascii="宋体" w:hAnsi="宋体" w:eastAsia="宋体" w:cs="宋体"/>
          <w:color w:val="000000" w:themeColor="text1"/>
          <w:sz w:val="24"/>
          <w:szCs w:val="24"/>
          <w:highlight w:val="none"/>
          <w:lang w:eastAsia="zh-CN"/>
          <w14:textFill>
            <w14:solidFill>
              <w14:schemeClr w14:val="tx1"/>
            </w14:solidFill>
          </w14:textFill>
        </w:rPr>
        <w:t>20%</w:t>
      </w:r>
      <w:r>
        <w:rPr>
          <w:rFonts w:hint="eastAsia" w:ascii="宋体" w:hAnsi="宋体" w:eastAsia="宋体" w:cs="宋体"/>
          <w:color w:val="000000" w:themeColor="text1"/>
          <w:sz w:val="24"/>
          <w:szCs w:val="24"/>
          <w:highlight w:val="none"/>
          <w:lang w:val="ko-KR" w:eastAsia="ko-KR"/>
          <w14:textFill>
            <w14:solidFill>
              <w14:schemeClr w14:val="tx1"/>
            </w14:solidFill>
          </w14:textFill>
        </w:rPr>
        <w:t xml:space="preserve">的违约金。 </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（二）因一方的违约行为侵犯了另一方的合法权益，对方可以选择根据本协议要求其承担违约责任，或者根据国家有关法律、法规要求其承担侵权责任。</w:t>
      </w:r>
    </w:p>
    <w:p>
      <w:pPr>
        <w:spacing w:line="240" w:lineRule="auto"/>
        <w:ind w:firstLine="56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（三）任何一方及其工作人员未按照本协议约定使用保密信息或者泄露保密信息而触犯有关法律，一方都可以有权按照</w:t>
      </w:r>
      <w:r>
        <w:rPr>
          <w:rFonts w:hint="default" w:ascii="宋体" w:hAnsi="宋体" w:cs="宋体"/>
          <w:color w:val="000000" w:themeColor="text1"/>
          <w:sz w:val="24"/>
          <w:szCs w:val="24"/>
          <w:highlight w:val="none"/>
          <w:lang w:eastAsia="ko-KR"/>
          <w14:textFill>
            <w14:solidFill>
              <w14:schemeClr w14:val="tx1"/>
            </w14:solidFill>
          </w14:textFill>
        </w:rPr>
        <w:t>本</w:t>
      </w:r>
      <w:r>
        <w:rPr>
          <w:rFonts w:hint="eastAsia" w:ascii="宋体" w:hAnsi="宋体" w:eastAsia="宋体" w:cs="宋体"/>
          <w:color w:val="000000" w:themeColor="text1"/>
          <w:sz w:val="24"/>
          <w:szCs w:val="24"/>
          <w:highlight w:val="none"/>
          <w:lang w:val="ko-KR" w:eastAsia="ko-KR"/>
          <w14:textFill>
            <w14:solidFill>
              <w14:schemeClr w14:val="tx1"/>
            </w14:solidFill>
          </w14:textFill>
        </w:rPr>
        <w:t>条的规定取得赔偿，还将依法追究另一方的行政及刑事责任。</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七、争议的解决</w:t>
      </w:r>
    </w:p>
    <w:p>
      <w:pPr>
        <w:keepNext w:val="0"/>
        <w:keepLines w:val="0"/>
        <w:widowControl w:val="0"/>
        <w:suppressLineNumbers w:val="0"/>
        <w:spacing w:before="0" w:beforeAutospacing="0" w:after="0" w:afterAutospacing="0" w:line="240" w:lineRule="auto"/>
        <w:ind w:left="0" w:right="0" w:firstLine="560"/>
        <w:jc w:val="both"/>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甲乙双方友好协商解决本协议中的争议。协商不成的，任何一方都有权向甲方所在地人民法院</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即西安市未央区人民法院</w:t>
      </w:r>
      <w:r>
        <w:rPr>
          <w:rFonts w:hint="eastAsia" w:ascii="宋体" w:hAnsi="宋体" w:eastAsia="宋体" w:cs="宋体"/>
          <w:color w:val="000000" w:themeColor="text1"/>
          <w:sz w:val="24"/>
          <w:szCs w:val="24"/>
          <w:highlight w:val="none"/>
          <w:lang w:val="ko-KR" w:eastAsia="ko-KR"/>
          <w14:textFill>
            <w14:solidFill>
              <w14:schemeClr w14:val="tx1"/>
            </w14:solidFill>
          </w14:textFill>
        </w:rPr>
        <w:t>提起诉讼。</w:t>
      </w:r>
    </w:p>
    <w:p>
      <w:pPr>
        <w:spacing w:line="240" w:lineRule="auto"/>
        <w:ind w:firstLine="562"/>
        <w:rPr>
          <w:rFonts w:hint="eastAsia" w:ascii="宋体" w:hAnsi="宋体" w:eastAsia="宋体" w:cs="宋体"/>
          <w:b/>
          <w:bCs/>
          <w:color w:val="000000" w:themeColor="text1"/>
          <w:sz w:val="24"/>
          <w:szCs w:val="24"/>
          <w:highlight w:val="none"/>
          <w:lang w:val="ko-KR" w:eastAsia="ko-KR"/>
          <w14:textFill>
            <w14:solidFill>
              <w14:schemeClr w14:val="tx1"/>
            </w14:solidFill>
          </w14:textFill>
        </w:rPr>
      </w:pPr>
      <w:r>
        <w:rPr>
          <w:rFonts w:hint="eastAsia" w:ascii="宋体" w:hAnsi="宋体" w:eastAsia="宋体" w:cs="宋体"/>
          <w:b/>
          <w:bCs/>
          <w:color w:val="000000" w:themeColor="text1"/>
          <w:sz w:val="24"/>
          <w:szCs w:val="24"/>
          <w:highlight w:val="none"/>
          <w:lang w:val="ko-KR" w:eastAsia="ko-KR"/>
          <w14:textFill>
            <w14:solidFill>
              <w14:schemeClr w14:val="tx1"/>
            </w14:solidFill>
          </w14:textFill>
        </w:rPr>
        <w:t>八、法律适用、协议文本及效力和变更</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（一）本协议适用中华人民共和国的法律。</w:t>
      </w:r>
    </w:p>
    <w:p>
      <w:pPr>
        <w:spacing w:line="240" w:lineRule="auto"/>
        <w:ind w:firstLine="560"/>
        <w:rPr>
          <w:rFonts w:hint="eastAsia" w:ascii="宋体" w:hAnsi="宋体" w:eastAsia="宋体" w:cs="宋体"/>
          <w:color w:val="000000" w:themeColor="text1"/>
          <w:sz w:val="24"/>
          <w:szCs w:val="24"/>
          <w:highlight w:val="none"/>
          <w:lang w:val="ko-KR" w:eastAsia="ko-KR"/>
          <w14:textFill>
            <w14:solidFill>
              <w14:schemeClr w14:val="tx1"/>
            </w14:solidFill>
          </w14:textFill>
        </w:rPr>
      </w:pPr>
      <w:r>
        <w:rPr>
          <w:rFonts w:hint="eastAsia" w:ascii="宋体" w:hAnsi="宋体" w:eastAsia="宋体" w:cs="宋体"/>
          <w:color w:val="000000" w:themeColor="text1"/>
          <w:sz w:val="24"/>
          <w:szCs w:val="24"/>
          <w:highlight w:val="none"/>
          <w:lang w:val="ko-KR" w:eastAsia="ko-KR"/>
          <w14:textFill>
            <w14:solidFill>
              <w14:schemeClr w14:val="tx1"/>
            </w14:solidFill>
          </w14:textFill>
        </w:rPr>
        <w:t>（二）本协议的任何修改必须经过双方协商一致，并以书面方式确认方为有效。</w:t>
      </w:r>
    </w:p>
    <w:p>
      <w:pPr>
        <w:pStyle w:val="2"/>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（三）本协议经双方法定代表人、负责人或授权代表签字并加盖单位公章后生效。</w:t>
      </w:r>
    </w:p>
    <w:p>
      <w:pPr>
        <w:spacing w:line="360" w:lineRule="auto"/>
        <w:rPr>
          <w:rFonts w:ascii="宋体" w:hAnsi="宋体"/>
          <w:b/>
          <w:bCs/>
          <w:sz w:val="24"/>
        </w:rPr>
      </w:pPr>
      <w:bookmarkStart w:id="2" w:name="_GoBack"/>
      <w:bookmarkEnd w:id="2"/>
      <w:r>
        <w:rPr>
          <w:rFonts w:hint="eastAsia" w:ascii="宋体" w:hAnsi="宋体"/>
          <w:b/>
          <w:bCs/>
          <w:sz w:val="24"/>
        </w:rPr>
        <w:t xml:space="preserve">附件1 </w:t>
      </w:r>
      <w:r>
        <w:rPr>
          <w:rFonts w:hint="eastAsia" w:asciiTheme="minorEastAsia" w:hAnsiTheme="minorEastAsia" w:eastAsiaTheme="minorEastAsia"/>
          <w:b/>
          <w:bCs/>
          <w:sz w:val="24"/>
        </w:rPr>
        <w:t>服务</w:t>
      </w:r>
      <w:r>
        <w:rPr>
          <w:rFonts w:hint="eastAsia" w:ascii="宋体" w:hAnsi="宋体"/>
          <w:b/>
          <w:bCs/>
          <w:sz w:val="24"/>
        </w:rPr>
        <w:t>内容</w:t>
      </w:r>
    </w:p>
    <w:tbl>
      <w:tblPr>
        <w:tblStyle w:val="7"/>
        <w:tblpPr w:leftFromText="180" w:rightFromText="180" w:vertAnchor="text" w:horzAnchor="page" w:tblpX="1137" w:tblpY="339"/>
        <w:tblOverlap w:val="never"/>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517"/>
        <w:gridCol w:w="1579"/>
        <w:gridCol w:w="1435"/>
        <w:gridCol w:w="1400"/>
        <w:gridCol w:w="2102"/>
        <w:gridCol w:w="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585" w:type="dxa"/>
            <w:vAlign w:val="center"/>
          </w:tcPr>
          <w:p>
            <w:pPr>
              <w:tabs>
                <w:tab w:val="left" w:pos="810"/>
              </w:tabs>
              <w:spacing w:line="360" w:lineRule="auto"/>
              <w:jc w:val="center"/>
              <w:rPr>
                <w:rFonts w:ascii="宋体" w:hAnsi="宋体"/>
                <w:bCs/>
                <w:sz w:val="24"/>
              </w:rPr>
            </w:pPr>
            <w:r>
              <w:rPr>
                <w:rFonts w:hint="eastAsia" w:ascii="宋体" w:hAnsi="宋体"/>
                <w:bCs/>
                <w:sz w:val="24"/>
              </w:rPr>
              <w:t>序号</w:t>
            </w:r>
          </w:p>
        </w:tc>
        <w:tc>
          <w:tcPr>
            <w:tcW w:w="2096" w:type="dxa"/>
            <w:gridSpan w:val="2"/>
            <w:vAlign w:val="center"/>
          </w:tcPr>
          <w:p>
            <w:pPr>
              <w:tabs>
                <w:tab w:val="left" w:pos="810"/>
              </w:tabs>
              <w:spacing w:line="360" w:lineRule="auto"/>
              <w:jc w:val="center"/>
              <w:rPr>
                <w:rFonts w:ascii="宋体" w:hAnsi="宋体"/>
                <w:bCs/>
                <w:sz w:val="24"/>
              </w:rPr>
            </w:pPr>
            <w:r>
              <w:rPr>
                <w:rFonts w:hint="eastAsia" w:asciiTheme="minorEastAsia" w:hAnsiTheme="minorEastAsia" w:eastAsiaTheme="minorEastAsia"/>
                <w:bCs/>
                <w:sz w:val="24"/>
              </w:rPr>
              <w:t>服务内容</w:t>
            </w:r>
          </w:p>
        </w:tc>
        <w:tc>
          <w:tcPr>
            <w:tcW w:w="1435" w:type="dxa"/>
            <w:vAlign w:val="center"/>
          </w:tcPr>
          <w:p>
            <w:pPr>
              <w:tabs>
                <w:tab w:val="left" w:pos="810"/>
              </w:tabs>
              <w:spacing w:line="360" w:lineRule="auto"/>
              <w:jc w:val="center"/>
              <w:rPr>
                <w:rFonts w:ascii="宋体" w:hAnsi="宋体"/>
                <w:bCs/>
                <w:sz w:val="24"/>
              </w:rPr>
            </w:pPr>
            <w:r>
              <w:rPr>
                <w:rFonts w:hint="eastAsia" w:ascii="宋体" w:hAnsi="宋体"/>
                <w:bCs/>
                <w:sz w:val="24"/>
              </w:rPr>
              <w:t>单价</w:t>
            </w:r>
          </w:p>
          <w:p>
            <w:pPr>
              <w:tabs>
                <w:tab w:val="left" w:pos="810"/>
              </w:tabs>
              <w:spacing w:line="360" w:lineRule="auto"/>
              <w:jc w:val="center"/>
              <w:rPr>
                <w:rFonts w:ascii="宋体" w:hAnsi="宋体"/>
                <w:bCs/>
                <w:sz w:val="24"/>
              </w:rPr>
            </w:pPr>
            <w:r>
              <w:rPr>
                <w:rFonts w:hint="eastAsia" w:ascii="宋体" w:hAnsi="宋体"/>
                <w:bCs/>
                <w:sz w:val="24"/>
              </w:rPr>
              <w:t>（元）</w:t>
            </w:r>
          </w:p>
        </w:tc>
        <w:tc>
          <w:tcPr>
            <w:tcW w:w="1400" w:type="dxa"/>
            <w:vAlign w:val="center"/>
          </w:tcPr>
          <w:p>
            <w:pPr>
              <w:tabs>
                <w:tab w:val="left" w:pos="810"/>
              </w:tabs>
              <w:spacing w:line="360" w:lineRule="auto"/>
              <w:jc w:val="center"/>
              <w:rPr>
                <w:rFonts w:ascii="宋体" w:hAnsi="宋体" w:eastAsiaTheme="minorEastAsia"/>
                <w:bCs/>
                <w:sz w:val="24"/>
              </w:rPr>
            </w:pPr>
            <w:r>
              <w:rPr>
                <w:rFonts w:ascii="宋体" w:hAnsi="宋体" w:eastAsiaTheme="minorEastAsia"/>
                <w:bCs/>
                <w:sz w:val="24"/>
              </w:rPr>
              <w:t>数量</w:t>
            </w:r>
          </w:p>
        </w:tc>
        <w:tc>
          <w:tcPr>
            <w:tcW w:w="2102" w:type="dxa"/>
            <w:vAlign w:val="center"/>
          </w:tcPr>
          <w:p>
            <w:pPr>
              <w:tabs>
                <w:tab w:val="left" w:pos="810"/>
              </w:tabs>
              <w:spacing w:line="360" w:lineRule="auto"/>
              <w:jc w:val="center"/>
              <w:rPr>
                <w:rFonts w:ascii="宋体" w:hAnsi="宋体"/>
                <w:bCs/>
                <w:sz w:val="24"/>
              </w:rPr>
            </w:pPr>
            <w:r>
              <w:rPr>
                <w:rFonts w:hint="eastAsia" w:ascii="宋体" w:hAnsi="宋体"/>
                <w:bCs/>
                <w:sz w:val="24"/>
              </w:rPr>
              <w:t>合计</w:t>
            </w:r>
          </w:p>
          <w:p>
            <w:pPr>
              <w:tabs>
                <w:tab w:val="left" w:pos="810"/>
              </w:tabs>
              <w:spacing w:line="360" w:lineRule="auto"/>
              <w:jc w:val="center"/>
              <w:rPr>
                <w:rFonts w:ascii="宋体" w:hAnsi="宋体"/>
                <w:bCs/>
                <w:sz w:val="24"/>
              </w:rPr>
            </w:pPr>
            <w:r>
              <w:rPr>
                <w:rFonts w:hint="eastAsia" w:ascii="宋体" w:hAnsi="宋体"/>
                <w:bCs/>
                <w:sz w:val="24"/>
              </w:rPr>
              <w:t>（元）</w:t>
            </w:r>
          </w:p>
        </w:tc>
        <w:tc>
          <w:tcPr>
            <w:tcW w:w="875" w:type="dxa"/>
            <w:vAlign w:val="center"/>
          </w:tcPr>
          <w:p>
            <w:pPr>
              <w:tabs>
                <w:tab w:val="left" w:pos="810"/>
              </w:tabs>
              <w:spacing w:line="360" w:lineRule="auto"/>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585" w:type="dxa"/>
            <w:vAlign w:val="center"/>
          </w:tcPr>
          <w:p>
            <w:pPr>
              <w:spacing w:line="360" w:lineRule="auto"/>
              <w:jc w:val="center"/>
              <w:rPr>
                <w:rFonts w:ascii="宋体" w:hAnsi="宋体"/>
                <w:bCs/>
                <w:sz w:val="24"/>
              </w:rPr>
            </w:pPr>
          </w:p>
        </w:tc>
        <w:tc>
          <w:tcPr>
            <w:tcW w:w="2096" w:type="dxa"/>
            <w:gridSpan w:val="2"/>
            <w:vAlign w:val="center"/>
          </w:tcPr>
          <w:p>
            <w:pPr>
              <w:spacing w:line="360" w:lineRule="auto"/>
              <w:jc w:val="center"/>
              <w:rPr>
                <w:rFonts w:ascii="宋体" w:hAnsi="宋体"/>
                <w:bCs/>
                <w:sz w:val="24"/>
              </w:rPr>
            </w:pPr>
          </w:p>
        </w:tc>
        <w:tc>
          <w:tcPr>
            <w:tcW w:w="1435" w:type="dxa"/>
            <w:vAlign w:val="center"/>
          </w:tcPr>
          <w:p>
            <w:pPr>
              <w:spacing w:line="360" w:lineRule="auto"/>
              <w:jc w:val="center"/>
              <w:rPr>
                <w:rFonts w:ascii="宋体" w:hAnsi="宋体"/>
                <w:bCs/>
                <w:sz w:val="24"/>
              </w:rPr>
            </w:pPr>
          </w:p>
        </w:tc>
        <w:tc>
          <w:tcPr>
            <w:tcW w:w="1400" w:type="dxa"/>
          </w:tcPr>
          <w:p>
            <w:pPr>
              <w:spacing w:line="360" w:lineRule="auto"/>
              <w:jc w:val="center"/>
              <w:rPr>
                <w:rFonts w:ascii="宋体" w:hAnsi="宋体"/>
                <w:bCs/>
                <w:sz w:val="24"/>
              </w:rPr>
            </w:pPr>
          </w:p>
        </w:tc>
        <w:tc>
          <w:tcPr>
            <w:tcW w:w="2102" w:type="dxa"/>
            <w:vAlign w:val="center"/>
          </w:tcPr>
          <w:p>
            <w:pPr>
              <w:spacing w:line="360" w:lineRule="auto"/>
              <w:jc w:val="center"/>
              <w:rPr>
                <w:rFonts w:ascii="宋体" w:hAnsi="宋体"/>
                <w:bCs/>
                <w:sz w:val="24"/>
              </w:rPr>
            </w:pPr>
          </w:p>
        </w:tc>
        <w:tc>
          <w:tcPr>
            <w:tcW w:w="875"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102" w:type="dxa"/>
            <w:gridSpan w:val="2"/>
          </w:tcPr>
          <w:p>
            <w:pPr>
              <w:spacing w:line="360" w:lineRule="auto"/>
              <w:rPr>
                <w:rFonts w:ascii="宋体" w:hAnsi="宋体"/>
                <w:bCs/>
                <w:sz w:val="24"/>
              </w:rPr>
            </w:pPr>
          </w:p>
        </w:tc>
        <w:tc>
          <w:tcPr>
            <w:tcW w:w="7391" w:type="dxa"/>
            <w:gridSpan w:val="5"/>
            <w:vAlign w:val="center"/>
          </w:tcPr>
          <w:p>
            <w:pPr>
              <w:spacing w:line="360" w:lineRule="auto"/>
              <w:rPr>
                <w:rFonts w:ascii="宋体" w:hAnsi="宋体" w:eastAsiaTheme="minorEastAsia"/>
                <w:sz w:val="24"/>
              </w:rPr>
            </w:pPr>
            <w:r>
              <w:rPr>
                <w:rFonts w:hint="eastAsia" w:ascii="宋体" w:hAnsi="宋体"/>
                <w:bCs/>
                <w:sz w:val="24"/>
              </w:rPr>
              <w:t>总金额：</w:t>
            </w:r>
            <w:r>
              <w:rPr>
                <w:rFonts w:hint="eastAsia" w:ascii="宋体" w:hAnsi="宋体"/>
                <w:sz w:val="24"/>
              </w:rPr>
              <w:t>人民币</w:t>
            </w:r>
            <w:r>
              <w:rPr>
                <w:rFonts w:hint="eastAsia" w:ascii="宋体" w:hAnsi="宋体"/>
                <w:sz w:val="24"/>
                <w:u w:val="single"/>
              </w:rPr>
              <w:t xml:space="preserve">      </w:t>
            </w:r>
            <w:r>
              <w:rPr>
                <w:rFonts w:hint="eastAsia" w:ascii="宋体" w:hAnsi="宋体"/>
                <w:sz w:val="24"/>
              </w:rPr>
              <w:t>元整（¥</w:t>
            </w:r>
            <w:r>
              <w:rPr>
                <w:rFonts w:hint="eastAsia" w:ascii="宋体" w:hAnsi="宋体"/>
                <w:sz w:val="24"/>
                <w:u w:val="single"/>
              </w:rPr>
              <w:t xml:space="preserve">       </w:t>
            </w:r>
            <w:r>
              <w:rPr>
                <w:rFonts w:hint="eastAsia" w:ascii="宋体" w:hAnsi="宋体"/>
                <w:sz w:val="24"/>
              </w:rPr>
              <w:t>元）</w:t>
            </w:r>
          </w:p>
        </w:tc>
      </w:tr>
    </w:tbl>
    <w:p>
      <w:pPr>
        <w:spacing w:line="360" w:lineRule="auto"/>
        <w:rPr>
          <w:rFonts w:ascii="宋体" w:hAnsi="宋体"/>
          <w:b/>
          <w:bCs/>
          <w:sz w:val="24"/>
        </w:rPr>
      </w:pPr>
    </w:p>
    <w:p>
      <w:pPr>
        <w:spacing w:line="360" w:lineRule="auto"/>
        <w:rPr>
          <w:rFonts w:ascii="宋体" w:hAnsi="宋体" w:eastAsiaTheme="minorEastAsia"/>
          <w:b/>
          <w:bCs/>
          <w:sz w:val="24"/>
        </w:rPr>
      </w:pPr>
    </w:p>
    <w:p>
      <w:pPr>
        <w:spacing w:line="360" w:lineRule="auto"/>
        <w:rPr>
          <w:rFonts w:ascii="宋体" w:hAnsi="宋体"/>
          <w:b/>
          <w:bCs/>
          <w:sz w:val="24"/>
        </w:rPr>
      </w:pPr>
      <w:r>
        <w:rPr>
          <w:rFonts w:hint="eastAsia" w:ascii="宋体" w:hAnsi="宋体"/>
          <w:b/>
          <w:bCs/>
          <w:sz w:val="24"/>
        </w:rPr>
        <w:t>附件2 性能参数表</w:t>
      </w:r>
    </w:p>
    <w:p>
      <w:pPr>
        <w:keepLines/>
        <w:wordWrap w:val="0"/>
        <w:topLinePunct/>
        <w:spacing w:line="360" w:lineRule="auto"/>
        <w:ind w:right="48"/>
        <w:rPr>
          <w:rFonts w:ascii="宋体" w:hAnsi="宋体" w:cs="宋体"/>
          <w:sz w:val="24"/>
        </w:rPr>
      </w:pPr>
    </w:p>
    <w:p>
      <w:pPr>
        <w:pStyle w:val="4"/>
        <w:rPr>
          <w:rFonts w:eastAsiaTheme="minorEastAsia"/>
        </w:rPr>
      </w:pPr>
    </w:p>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CD27C"/>
    <w:multiLevelType w:val="singleLevel"/>
    <w:tmpl w:val="27ACD27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c0ccd66c-206a-4d52-9d20-697de39b5007"/>
  </w:docVars>
  <w:rsids>
    <w:rsidRoot w:val="064E2489"/>
    <w:rsid w:val="00302321"/>
    <w:rsid w:val="003E248C"/>
    <w:rsid w:val="00913F12"/>
    <w:rsid w:val="00937730"/>
    <w:rsid w:val="009D3BAB"/>
    <w:rsid w:val="00A8560B"/>
    <w:rsid w:val="00C80D71"/>
    <w:rsid w:val="00DB0A2E"/>
    <w:rsid w:val="064E2489"/>
    <w:rsid w:val="2EA00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kern w:val="0"/>
      <w:sz w:val="20"/>
    </w:rPr>
  </w:style>
  <w:style w:type="paragraph" w:styleId="4">
    <w:name w:val="Body Text"/>
    <w:basedOn w:val="1"/>
    <w:next w:val="1"/>
    <w:uiPriority w:val="0"/>
    <w:rPr>
      <w:color w:val="993300"/>
      <w:sz w:val="24"/>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1267</Words>
  <Characters>1278</Characters>
  <Lines>11</Lines>
  <Paragraphs>3</Paragraphs>
  <TotalTime>0</TotalTime>
  <ScaleCrop>false</ScaleCrop>
  <LinksUpToDate>false</LinksUpToDate>
  <CharactersWithSpaces>1547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2025-05-30T06:08:33Z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