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32"/>
          <w:szCs w:val="32"/>
        </w:rPr>
      </w:pPr>
      <w:r>
        <w:rPr>
          <w:rFonts w:hint="eastAsia" w:ascii="宋体" w:hAnsi="宋体"/>
          <w:b/>
          <w:sz w:val="32"/>
          <w:szCs w:val="32"/>
        </w:rPr>
        <w:t>供应商资格条件证明文件</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1、</w:t>
      </w:r>
      <w:bookmarkStart w:id="0" w:name="OLE_LINK53"/>
      <w:r>
        <w:rPr>
          <w:rFonts w:hint="eastAsia" w:ascii="宋体" w:hAnsi="宋体" w:eastAsia="宋体" w:cs="宋体"/>
          <w:position w:val="15"/>
          <w:sz w:val="24"/>
          <w:szCs w:val="24"/>
          <w:lang w:eastAsia="zh-CN"/>
        </w:rPr>
        <w:t>具有独立承担民事责任能力的法人、其他组织或自然人，并出具合法有效的营业执照或事业单位法人证书等国家规定的相关证明，自然人参与的提供其身份证明</w:t>
      </w:r>
      <w:bookmarkEnd w:id="0"/>
      <w:r>
        <w:rPr>
          <w:rFonts w:hint="eastAsia" w:ascii="宋体" w:hAnsi="宋体" w:eastAsia="宋体" w:cs="宋体"/>
          <w:position w:val="15"/>
          <w:sz w:val="24"/>
          <w:szCs w:val="24"/>
          <w:lang w:eastAsia="zh-CN"/>
        </w:rPr>
        <w:t>。</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2、财务状况报告：提供202</w:t>
      </w:r>
      <w:r>
        <w:rPr>
          <w:rFonts w:hint="eastAsia" w:ascii="宋体" w:hAnsi="宋体" w:eastAsia="宋体" w:cs="宋体"/>
          <w:position w:val="15"/>
          <w:sz w:val="24"/>
          <w:szCs w:val="24"/>
          <w:lang w:val="en-US" w:eastAsia="zh-CN"/>
        </w:rPr>
        <w:t>3</w:t>
      </w:r>
      <w:r>
        <w:rPr>
          <w:rFonts w:hint="eastAsia" w:ascii="宋体" w:hAnsi="宋体" w:eastAsia="宋体" w:cs="宋体"/>
          <w:position w:val="15"/>
          <w:sz w:val="24"/>
          <w:szCs w:val="24"/>
          <w:lang w:eastAsia="zh-CN"/>
        </w:rPr>
        <w:t>年度</w:t>
      </w:r>
      <w:r>
        <w:rPr>
          <w:rFonts w:hint="eastAsia" w:ascii="宋体" w:hAnsi="宋体" w:eastAsia="宋体" w:cs="宋体"/>
          <w:position w:val="15"/>
          <w:sz w:val="24"/>
          <w:szCs w:val="24"/>
          <w:lang w:val="en-US" w:eastAsia="zh-CN"/>
        </w:rPr>
        <w:t>或2024年度</w:t>
      </w:r>
      <w:r>
        <w:rPr>
          <w:rFonts w:hint="eastAsia" w:ascii="宋体" w:hAnsi="宋体" w:eastAsia="宋体" w:cs="宋体"/>
          <w:position w:val="15"/>
          <w:sz w:val="24"/>
          <w:szCs w:val="24"/>
          <w:lang w:eastAsia="zh-CN"/>
        </w:rPr>
        <w:t>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3、税收缴纳证明：</w:t>
      </w:r>
      <w:bookmarkStart w:id="1" w:name="OLE_LINK39"/>
      <w:bookmarkStart w:id="2" w:name="OLE_LINK41"/>
      <w:r>
        <w:rPr>
          <w:rFonts w:hint="eastAsia" w:ascii="宋体" w:hAnsi="宋体" w:eastAsia="宋体" w:cs="宋体"/>
          <w:position w:val="15"/>
          <w:sz w:val="24"/>
          <w:szCs w:val="24"/>
          <w:lang w:eastAsia="zh-CN"/>
        </w:rPr>
        <w:t>提供上一年度至今任意一个月的依法缴纳税收的相关凭据（时间以税款所属日期为准），凭据应有税务机关或代收机关的公章或业务专用章。依法免税或无须缴纳税收的供应商，应提供相应证明文件</w:t>
      </w:r>
      <w:bookmarkEnd w:id="1"/>
      <w:r>
        <w:rPr>
          <w:rFonts w:hint="eastAsia" w:ascii="宋体" w:hAnsi="宋体" w:eastAsia="宋体" w:cs="宋体"/>
          <w:position w:val="15"/>
          <w:sz w:val="24"/>
          <w:szCs w:val="24"/>
          <w:lang w:eastAsia="zh-CN"/>
        </w:rPr>
        <w:t>。</w:t>
      </w:r>
      <w:bookmarkEnd w:id="2"/>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4、社会保障资金缴纳证明：提供上一年度至今已缴存的至少一个月的社会保障资金缴存单据或社保机构开具的社会保险参保缴费情况证明，依法不需要缴纳社会保障资金的单位应提供相关证明材料。</w:t>
      </w:r>
    </w:p>
    <w:p>
      <w:pPr>
        <w:keepLines/>
        <w:kinsoku/>
        <w:wordWrap w:val="0"/>
        <w:topLinePunct/>
        <w:autoSpaceDE/>
        <w:autoSpaceDN/>
        <w:spacing w:line="360" w:lineRule="auto"/>
        <w:ind w:right="48" w:firstLine="480" w:firstLineChars="200"/>
        <w:rPr>
          <w:rFonts w:hint="default" w:ascii="宋体" w:hAnsi="宋体" w:eastAsia="宋体" w:cs="宋体"/>
          <w:position w:val="15"/>
          <w:sz w:val="24"/>
          <w:szCs w:val="24"/>
          <w:lang w:val="en-US" w:eastAsia="zh-CN"/>
        </w:rPr>
      </w:pPr>
      <w:r>
        <w:rPr>
          <w:rFonts w:hint="eastAsia" w:ascii="宋体" w:hAnsi="宋体" w:eastAsia="宋体" w:cs="宋体"/>
          <w:position w:val="15"/>
          <w:sz w:val="24"/>
          <w:szCs w:val="24"/>
          <w:lang w:eastAsia="zh-CN"/>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eastAsia="宋体" w:cs="宋体"/>
          <w:b/>
          <w:bCs/>
          <w:position w:val="15"/>
          <w:sz w:val="24"/>
          <w:szCs w:val="24"/>
          <w:lang w:val="en-US" w:eastAsia="zh-CN"/>
        </w:rPr>
        <w:t>（格式后附）</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6、控股管理关系：提供直接控股和管理关系清单。若与其他供应商存在单位负责人为同一人或者存在直接控股、管理关系的，则投标无效。</w:t>
      </w:r>
      <w:r>
        <w:rPr>
          <w:rFonts w:hint="eastAsia" w:ascii="宋体" w:hAnsi="宋体" w:eastAsia="宋体" w:cs="宋体"/>
          <w:b/>
          <w:bCs/>
          <w:position w:val="15"/>
          <w:sz w:val="24"/>
          <w:szCs w:val="24"/>
          <w:lang w:val="en-US" w:eastAsia="zh-CN"/>
        </w:rPr>
        <w:t>（格式后附）</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7、提供具有履行合同所必需的设备和专业技术能力的承诺函。</w:t>
      </w:r>
      <w:r>
        <w:rPr>
          <w:rFonts w:hint="eastAsia" w:ascii="宋体" w:hAnsi="宋体" w:eastAsia="宋体" w:cs="宋体"/>
          <w:b/>
          <w:bCs/>
          <w:position w:val="15"/>
          <w:sz w:val="24"/>
          <w:szCs w:val="24"/>
          <w:lang w:val="en-US" w:eastAsia="zh-CN"/>
        </w:rPr>
        <w:t>（格式后附）</w:t>
      </w:r>
    </w:p>
    <w:p>
      <w:pPr>
        <w:widowControl/>
        <w:spacing w:line="510" w:lineRule="atLeast"/>
        <w:ind w:firstLine="480"/>
        <w:jc w:val="left"/>
        <w:rPr>
          <w:rFonts w:ascii="宋体" w:hAnsi="宋体" w:cs="Helvetica"/>
          <w:kern w:val="0"/>
          <w:sz w:val="24"/>
        </w:rPr>
      </w:pPr>
      <w:r>
        <w:rPr>
          <w:rFonts w:hint="eastAsia" w:ascii="宋体" w:hAnsi="宋体" w:eastAsia="宋体" w:cs="宋体"/>
          <w:position w:val="15"/>
          <w:sz w:val="24"/>
          <w:szCs w:val="24"/>
          <w:lang w:eastAsia="zh-CN"/>
        </w:rPr>
        <w:t>8、法定代表人授权书及被授权人身份证复印件。（法定代表人直接</w:t>
      </w:r>
      <w:r>
        <w:rPr>
          <w:rFonts w:hint="eastAsia" w:ascii="宋体" w:hAnsi="宋体" w:eastAsia="宋体" w:cs="宋体"/>
          <w:position w:val="15"/>
          <w:sz w:val="24"/>
          <w:szCs w:val="24"/>
          <w:lang w:val="en-US" w:eastAsia="zh-CN"/>
        </w:rPr>
        <w:t>磋商</w:t>
      </w:r>
      <w:r>
        <w:rPr>
          <w:rFonts w:hint="eastAsia" w:ascii="宋体" w:hAnsi="宋体" w:eastAsia="宋体" w:cs="宋体"/>
          <w:position w:val="15"/>
          <w:sz w:val="24"/>
          <w:szCs w:val="24"/>
          <w:lang w:eastAsia="zh-CN"/>
        </w:rPr>
        <w:t>只须提交其身份证</w:t>
      </w:r>
      <w:r>
        <w:rPr>
          <w:rFonts w:hint="eastAsia" w:ascii="宋体" w:hAnsi="宋体" w:eastAsia="宋体" w:cs="宋体"/>
          <w:position w:val="15"/>
          <w:sz w:val="24"/>
          <w:szCs w:val="24"/>
          <w:lang w:val="en-US" w:eastAsia="zh-CN"/>
        </w:rPr>
        <w:t>明书</w:t>
      </w:r>
      <w:r>
        <w:rPr>
          <w:rFonts w:hint="eastAsia" w:ascii="宋体" w:hAnsi="宋体" w:eastAsia="宋体" w:cs="宋体"/>
          <w:position w:val="15"/>
          <w:sz w:val="24"/>
          <w:szCs w:val="24"/>
          <w:lang w:eastAsia="zh-CN"/>
        </w:rPr>
        <w:t>）。</w:t>
      </w:r>
      <w:r>
        <w:rPr>
          <w:rFonts w:hint="eastAsia" w:ascii="宋体" w:hAnsi="宋体" w:eastAsia="宋体" w:cs="宋体"/>
          <w:b/>
          <w:bCs/>
          <w:position w:val="15"/>
          <w:sz w:val="24"/>
          <w:szCs w:val="24"/>
          <w:lang w:val="en-US" w:eastAsia="zh-CN"/>
        </w:rPr>
        <w:t>（格式后附）</w:t>
      </w:r>
    </w:p>
    <w:p>
      <w:pPr>
        <w:spacing w:line="360" w:lineRule="atLeast"/>
        <w:jc w:val="center"/>
        <w:rPr>
          <w:rFonts w:ascii="宋体" w:hAnsi="宋体"/>
          <w:b/>
          <w:sz w:val="32"/>
          <w:szCs w:val="32"/>
        </w:rPr>
      </w:pP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4125" w:type="dxa"/>
            <w:gridSpan w:val="2"/>
            <w:vMerge w:val="continue"/>
            <w:vAlign w:val="center"/>
          </w:tcPr>
          <w:p>
            <w:pPr>
              <w:tabs>
                <w:tab w:val="left" w:pos="210"/>
              </w:tabs>
              <w:spacing w:line="320" w:lineRule="exact"/>
              <w:jc w:val="center"/>
              <w:rPr>
                <w:rFonts w:ascii="宋体" w:hAnsi="宋体" w:cs="Arial"/>
                <w:kern w:val="0"/>
                <w:sz w:val="24"/>
              </w:rPr>
            </w:pPr>
          </w:p>
        </w:tc>
        <w:tc>
          <w:tcPr>
            <w:tcW w:w="4297" w:type="dxa"/>
            <w:gridSpan w:val="3"/>
            <w:vAlign w:val="bottom"/>
          </w:tcPr>
          <w:p>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left"/>
        <w:rPr>
          <w:rFonts w:ascii="宋体" w:hAnsi="宋体" w:cs="Arial"/>
          <w:b/>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（法定代表人直接磋商，只须提供法定代表人证明书及身份证原件）</w:t>
      </w:r>
    </w:p>
    <w:p>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pPr>
        <w:pStyle w:val="5"/>
        <w:spacing w:line="500" w:lineRule="exact"/>
        <w:rPr>
          <w:rFonts w:hAnsi="宋体"/>
          <w:b/>
          <w:bCs/>
          <w:sz w:val="24"/>
          <w:szCs w:val="24"/>
        </w:rPr>
      </w:pPr>
      <w:r>
        <w:rPr>
          <w:rFonts w:hint="eastAsia" w:hAnsi="宋体"/>
          <w:sz w:val="24"/>
          <w:szCs w:val="24"/>
        </w:rPr>
        <w:t>陕西开源招标有限公司：</w:t>
      </w:r>
    </w:p>
    <w:p>
      <w:pPr>
        <w:pStyle w:val="5"/>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lang w:val="en-US" w:eastAsia="zh-CN"/>
        </w:rPr>
        <w:t>由</w:t>
      </w:r>
      <w:r>
        <w:rPr>
          <w:rFonts w:hint="eastAsia" w:hAnsi="宋体"/>
          <w:spacing w:val="-4"/>
          <w:sz w:val="24"/>
          <w:szCs w:val="24"/>
        </w:rPr>
        <w:t>本公司</w:t>
      </w:r>
      <w:r>
        <w:rPr>
          <w:rFonts w:hint="eastAsia" w:hAnsi="宋体"/>
          <w:spacing w:val="-4"/>
          <w:sz w:val="24"/>
          <w:szCs w:val="24"/>
          <w:lang w:val="en-US" w:eastAsia="zh-CN"/>
        </w:rPr>
        <w:t>缴纳社保</w:t>
      </w:r>
      <w:r>
        <w:rPr>
          <w:rFonts w:hint="eastAsia" w:hAnsi="宋体"/>
          <w:spacing w:val="-4"/>
          <w:sz w:val="24"/>
          <w:szCs w:val="24"/>
        </w:rPr>
        <w:t>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pPr>
        <w:pStyle w:val="5"/>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pPr>
        <w:pStyle w:val="5"/>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5"/>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5"/>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5"/>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5"/>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5"/>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5"/>
        <w:spacing w:line="500" w:lineRule="exact"/>
        <w:ind w:firstLine="480" w:firstLineChars="200"/>
        <w:rPr>
          <w:rFonts w:hAnsi="宋体"/>
          <w:sz w:val="24"/>
          <w:szCs w:val="24"/>
        </w:rPr>
      </w:pPr>
      <w:r>
        <w:rPr>
          <w:rFonts w:hint="eastAsia" w:hAnsi="宋体"/>
          <w:sz w:val="24"/>
          <w:szCs w:val="24"/>
        </w:rPr>
        <w:t>说明：</w:t>
      </w:r>
    </w:p>
    <w:p>
      <w:pPr>
        <w:pStyle w:val="5"/>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pPr>
        <w:pStyle w:val="5"/>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pPr>
        <w:pStyle w:val="4"/>
        <w:rPr>
          <w:color w:val="auto"/>
        </w:rPr>
      </w:pPr>
    </w:p>
    <w:tbl>
      <w:tblPr>
        <w:tblStyle w:val="8"/>
        <w:tblW w:w="5000" w:type="pct"/>
        <w:tblInd w:w="0" w:type="dxa"/>
        <w:tblLayout w:type="autofit"/>
        <w:tblCellMar>
          <w:top w:w="0" w:type="dxa"/>
          <w:left w:w="108" w:type="dxa"/>
          <w:bottom w:w="0" w:type="dxa"/>
          <w:right w:w="108" w:type="dxa"/>
        </w:tblCellMar>
      </w:tblPr>
      <w:tblGrid>
        <w:gridCol w:w="1722"/>
        <w:gridCol w:w="1723"/>
        <w:gridCol w:w="1551"/>
        <w:gridCol w:w="1716"/>
        <w:gridCol w:w="1810"/>
      </w:tblGrid>
      <w:tr>
        <w:tblPrEx>
          <w:tblCellMar>
            <w:top w:w="0" w:type="dxa"/>
            <w:left w:w="108" w:type="dxa"/>
            <w:bottom w:w="0" w:type="dxa"/>
            <w:right w:w="108" w:type="dxa"/>
          </w:tblCellMar>
        </w:tblPrEx>
        <w:trPr>
          <w:trHeight w:val="783" w:hRule="atLeast"/>
        </w:trPr>
        <w:tc>
          <w:tcPr>
            <w:tcW w:w="1011"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供应商名称</w:t>
            </w:r>
          </w:p>
        </w:tc>
        <w:tc>
          <w:tcPr>
            <w:tcW w:w="1011" w:type="pct"/>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性质</w:t>
            </w:r>
          </w:p>
        </w:tc>
        <w:tc>
          <w:tcPr>
            <w:tcW w:w="1914" w:type="pct"/>
            <w:gridSpan w:val="2"/>
            <w:tcBorders>
              <w:top w:val="single" w:color="000000" w:sz="8" w:space="0"/>
              <w:left w:val="single" w:color="000000" w:sz="8" w:space="0"/>
              <w:bottom w:val="single" w:color="000000" w:sz="8" w:space="0"/>
              <w:right w:val="single" w:color="000000" w:sz="8" w:space="0"/>
            </w:tcBorders>
            <w:vAlign w:val="center"/>
          </w:tcPr>
          <w:p>
            <w:pPr>
              <w:jc w:val="center"/>
              <w:rPr>
                <w:sz w:val="24"/>
              </w:rPr>
            </w:pPr>
            <w:r>
              <w:rPr>
                <w:rFonts w:hint="eastAsia"/>
                <w:sz w:val="24"/>
              </w:rPr>
              <w:t>国家企业信用信息公示系统</w:t>
            </w:r>
          </w:p>
        </w:tc>
        <w:tc>
          <w:tcPr>
            <w:tcW w:w="1062" w:type="pct"/>
            <w:tcBorders>
              <w:top w:val="single" w:color="000000" w:sz="8" w:space="0"/>
              <w:left w:val="nil"/>
              <w:bottom w:val="single" w:color="000000" w:sz="8" w:space="0"/>
              <w:right w:val="single" w:color="000000" w:sz="8" w:space="0"/>
            </w:tcBorders>
            <w:vAlign w:val="center"/>
          </w:tcPr>
          <w:p>
            <w:pPr>
              <w:jc w:val="center"/>
              <w:rPr>
                <w:sz w:val="24"/>
              </w:rPr>
            </w:pPr>
            <w:r>
              <w:rPr>
                <w:rFonts w:hint="eastAsia"/>
                <w:sz w:val="24"/>
              </w:rPr>
              <w:t>股权比例</w:t>
            </w:r>
          </w:p>
        </w:tc>
      </w:tr>
      <w:tr>
        <w:tblPrEx>
          <w:tblCellMar>
            <w:top w:w="0" w:type="dxa"/>
            <w:left w:w="108" w:type="dxa"/>
            <w:bottom w:w="0" w:type="dxa"/>
            <w:right w:w="108" w:type="dxa"/>
          </w:tblCellMar>
        </w:tblPrEx>
        <w:trPr>
          <w:trHeight w:val="1081" w:hRule="atLeast"/>
        </w:trPr>
        <w:tc>
          <w:tcPr>
            <w:tcW w:w="1011" w:type="pct"/>
            <w:vMerge w:val="restart"/>
            <w:tcBorders>
              <w:top w:val="nil"/>
              <w:left w:val="single" w:color="000000" w:sz="8" w:space="0"/>
              <w:bottom w:val="nil"/>
              <w:right w:val="single" w:color="000000" w:sz="8" w:space="0"/>
            </w:tcBorders>
            <w:vAlign w:val="center"/>
          </w:tcPr>
          <w:p>
            <w:pPr>
              <w:rPr>
                <w:sz w:val="24"/>
              </w:rPr>
            </w:pPr>
          </w:p>
        </w:tc>
        <w:tc>
          <w:tcPr>
            <w:tcW w:w="1011" w:type="pct"/>
            <w:vMerge w:val="restart"/>
            <w:tcBorders>
              <w:top w:val="nil"/>
              <w:left w:val="single" w:color="000000" w:sz="8" w:space="0"/>
              <w:bottom w:val="nil"/>
              <w:right w:val="single" w:color="000000" w:sz="8" w:space="0"/>
            </w:tcBorders>
            <w:vAlign w:val="center"/>
          </w:tcPr>
          <w:p>
            <w:pPr>
              <w:rPr>
                <w:sz w:val="24"/>
              </w:rPr>
            </w:pPr>
            <w:r>
              <w:rPr>
                <w:rFonts w:hint="eastAsia"/>
                <w:sz w:val="24"/>
              </w:rPr>
              <w:t>企业/事业/个人/其他</w:t>
            </w:r>
          </w:p>
        </w:tc>
        <w:tc>
          <w:tcPr>
            <w:tcW w:w="907" w:type="pct"/>
            <w:tcBorders>
              <w:top w:val="nil"/>
              <w:left w:val="single" w:color="000000" w:sz="8" w:space="0"/>
              <w:bottom w:val="single" w:color="000000" w:sz="8" w:space="0"/>
              <w:right w:val="single" w:color="000000" w:sz="8" w:space="0"/>
            </w:tcBorders>
            <w:vAlign w:val="center"/>
          </w:tcPr>
          <w:p>
            <w:pPr>
              <w:jc w:val="center"/>
              <w:rPr>
                <w:sz w:val="24"/>
              </w:rPr>
            </w:pPr>
            <w:r>
              <w:rPr>
                <w:rFonts w:hint="eastAsia"/>
                <w:sz w:val="24"/>
              </w:rPr>
              <w:t>法定代表人/负责人</w:t>
            </w:r>
          </w:p>
        </w:tc>
        <w:tc>
          <w:tcPr>
            <w:tcW w:w="1007" w:type="pct"/>
            <w:tcBorders>
              <w:top w:val="nil"/>
              <w:left w:val="nil"/>
              <w:bottom w:val="single" w:color="000000" w:sz="8" w:space="0"/>
              <w:right w:val="single" w:color="000000" w:sz="8" w:space="0"/>
            </w:tcBorders>
            <w:vAlign w:val="center"/>
          </w:tcPr>
          <w:p>
            <w:pPr>
              <w:jc w:val="center"/>
              <w:rPr>
                <w:sz w:val="24"/>
              </w:rPr>
            </w:pPr>
            <w:r>
              <w:rPr>
                <w:rFonts w:hint="eastAsia"/>
                <w:sz w:val="24"/>
              </w:rPr>
              <w:t>股东</w:t>
            </w:r>
          </w:p>
        </w:tc>
        <w:tc>
          <w:tcPr>
            <w:tcW w:w="1062" w:type="pct"/>
            <w:tcBorders>
              <w:top w:val="single" w:color="000000" w:sz="8" w:space="0"/>
              <w:left w:val="nil"/>
              <w:bottom w:val="single" w:color="000000" w:sz="8" w:space="0"/>
              <w:right w:val="single" w:color="000000" w:sz="8" w:space="0"/>
            </w:tcBorders>
          </w:tcPr>
          <w:p>
            <w:pPr>
              <w:rPr>
                <w:sz w:val="24"/>
              </w:rPr>
            </w:pPr>
          </w:p>
        </w:tc>
      </w:tr>
      <w:tr>
        <w:tblPrEx>
          <w:tblCellMar>
            <w:top w:w="0" w:type="dxa"/>
            <w:left w:w="108" w:type="dxa"/>
            <w:bottom w:w="0" w:type="dxa"/>
            <w:right w:w="108" w:type="dxa"/>
          </w:tblCellMar>
        </w:tblPrEx>
        <w:trPr>
          <w:trHeight w:val="1081" w:hRule="atLeast"/>
        </w:trPr>
        <w:tc>
          <w:tcPr>
            <w:tcW w:w="1011" w:type="pct"/>
            <w:vMerge w:val="continue"/>
            <w:tcBorders>
              <w:top w:val="nil"/>
              <w:left w:val="single" w:color="000000" w:sz="8" w:space="0"/>
              <w:bottom w:val="nil"/>
              <w:right w:val="single" w:color="000000" w:sz="8" w:space="0"/>
            </w:tcBorders>
            <w:vAlign w:val="center"/>
          </w:tcPr>
          <w:p>
            <w:pPr>
              <w:rPr>
                <w:sz w:val="24"/>
              </w:rPr>
            </w:pPr>
          </w:p>
        </w:tc>
        <w:tc>
          <w:tcPr>
            <w:tcW w:w="1011" w:type="pct"/>
            <w:vMerge w:val="continue"/>
            <w:tcBorders>
              <w:top w:val="nil"/>
              <w:left w:val="single" w:color="000000" w:sz="8" w:space="0"/>
              <w:bottom w:val="nil"/>
              <w:right w:val="single" w:color="000000" w:sz="8" w:space="0"/>
            </w:tcBorders>
            <w:vAlign w:val="center"/>
          </w:tcPr>
          <w:p>
            <w:pPr>
              <w:rPr>
                <w:sz w:val="24"/>
              </w:rPr>
            </w:pPr>
          </w:p>
        </w:tc>
        <w:tc>
          <w:tcPr>
            <w:tcW w:w="907" w:type="pct"/>
            <w:vMerge w:val="restart"/>
            <w:tcBorders>
              <w:top w:val="nil"/>
              <w:left w:val="single" w:color="000000" w:sz="8" w:space="0"/>
              <w:right w:val="single" w:color="000000" w:sz="8" w:space="0"/>
            </w:tcBorders>
            <w:vAlign w:val="center"/>
          </w:tcPr>
          <w:p>
            <w:pPr>
              <w:rPr>
                <w:sz w:val="24"/>
              </w:rPr>
            </w:pPr>
          </w:p>
        </w:tc>
        <w:tc>
          <w:tcPr>
            <w:tcW w:w="1007" w:type="pct"/>
            <w:tcBorders>
              <w:top w:val="nil"/>
              <w:left w:val="nil"/>
              <w:bottom w:val="single" w:color="000000" w:sz="8" w:space="0"/>
              <w:right w:val="single" w:color="000000" w:sz="8" w:space="0"/>
            </w:tcBorders>
            <w:vAlign w:val="center"/>
          </w:tcPr>
          <w:p>
            <w:pPr>
              <w:rPr>
                <w:sz w:val="24"/>
              </w:rPr>
            </w:pPr>
          </w:p>
        </w:tc>
        <w:tc>
          <w:tcPr>
            <w:tcW w:w="1062"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1" w:type="pct"/>
            <w:vMerge w:val="continue"/>
            <w:tcBorders>
              <w:top w:val="nil"/>
              <w:left w:val="single" w:color="000000" w:sz="8" w:space="0"/>
              <w:bottom w:val="nil"/>
              <w:right w:val="single" w:color="000000" w:sz="8" w:space="0"/>
            </w:tcBorders>
            <w:vAlign w:val="center"/>
          </w:tcPr>
          <w:p>
            <w:pPr>
              <w:rPr>
                <w:sz w:val="24"/>
              </w:rPr>
            </w:pPr>
          </w:p>
        </w:tc>
        <w:tc>
          <w:tcPr>
            <w:tcW w:w="1011" w:type="pct"/>
            <w:vMerge w:val="continue"/>
            <w:tcBorders>
              <w:top w:val="nil"/>
              <w:left w:val="single" w:color="000000" w:sz="8" w:space="0"/>
              <w:bottom w:val="nil"/>
              <w:right w:val="single" w:color="000000" w:sz="8" w:space="0"/>
            </w:tcBorders>
            <w:vAlign w:val="center"/>
          </w:tcPr>
          <w:p>
            <w:pPr>
              <w:rPr>
                <w:sz w:val="24"/>
              </w:rPr>
            </w:pPr>
          </w:p>
        </w:tc>
        <w:tc>
          <w:tcPr>
            <w:tcW w:w="907" w:type="pct"/>
            <w:vMerge w:val="continue"/>
            <w:tcBorders>
              <w:left w:val="single" w:color="000000" w:sz="8" w:space="0"/>
              <w:right w:val="single" w:color="000000" w:sz="8" w:space="0"/>
            </w:tcBorders>
            <w:vAlign w:val="center"/>
          </w:tcPr>
          <w:p>
            <w:pPr>
              <w:rPr>
                <w:sz w:val="24"/>
              </w:rPr>
            </w:pPr>
          </w:p>
        </w:tc>
        <w:tc>
          <w:tcPr>
            <w:tcW w:w="1007" w:type="pct"/>
            <w:tcBorders>
              <w:top w:val="nil"/>
              <w:left w:val="nil"/>
              <w:bottom w:val="single" w:color="000000" w:sz="8" w:space="0"/>
              <w:right w:val="single" w:color="000000" w:sz="8" w:space="0"/>
            </w:tcBorders>
            <w:vAlign w:val="center"/>
          </w:tcPr>
          <w:p>
            <w:pPr>
              <w:rPr>
                <w:sz w:val="24"/>
              </w:rPr>
            </w:pPr>
          </w:p>
        </w:tc>
        <w:tc>
          <w:tcPr>
            <w:tcW w:w="1062" w:type="pct"/>
            <w:tcBorders>
              <w:top w:val="nil"/>
              <w:left w:val="nil"/>
              <w:bottom w:val="single" w:color="000000" w:sz="8" w:space="0"/>
              <w:right w:val="single" w:color="000000" w:sz="8" w:space="0"/>
            </w:tcBorders>
            <w:vAlign w:val="center"/>
          </w:tcPr>
          <w:p>
            <w:pPr>
              <w:rPr>
                <w:sz w:val="24"/>
              </w:rPr>
            </w:pPr>
          </w:p>
        </w:tc>
      </w:tr>
      <w:tr>
        <w:tblPrEx>
          <w:tblCellMar>
            <w:top w:w="0" w:type="dxa"/>
            <w:left w:w="108" w:type="dxa"/>
            <w:bottom w:w="0" w:type="dxa"/>
            <w:right w:w="108" w:type="dxa"/>
          </w:tblCellMar>
        </w:tblPrEx>
        <w:trPr>
          <w:trHeight w:val="1081" w:hRule="atLeast"/>
        </w:trPr>
        <w:tc>
          <w:tcPr>
            <w:tcW w:w="1011" w:type="pct"/>
            <w:vMerge w:val="continue"/>
            <w:tcBorders>
              <w:top w:val="nil"/>
              <w:left w:val="single" w:color="000000" w:sz="8" w:space="0"/>
              <w:bottom w:val="nil"/>
              <w:right w:val="single" w:color="000000" w:sz="8" w:space="0"/>
            </w:tcBorders>
            <w:vAlign w:val="center"/>
          </w:tcPr>
          <w:p>
            <w:pPr>
              <w:rPr>
                <w:sz w:val="24"/>
              </w:rPr>
            </w:pPr>
          </w:p>
        </w:tc>
        <w:tc>
          <w:tcPr>
            <w:tcW w:w="1011" w:type="pct"/>
            <w:vMerge w:val="continue"/>
            <w:tcBorders>
              <w:top w:val="nil"/>
              <w:left w:val="single" w:color="000000" w:sz="8" w:space="0"/>
              <w:bottom w:val="nil"/>
              <w:right w:val="single" w:color="000000" w:sz="8" w:space="0"/>
            </w:tcBorders>
            <w:vAlign w:val="center"/>
          </w:tcPr>
          <w:p>
            <w:pPr>
              <w:rPr>
                <w:sz w:val="24"/>
              </w:rPr>
            </w:pPr>
          </w:p>
        </w:tc>
        <w:tc>
          <w:tcPr>
            <w:tcW w:w="907" w:type="pct"/>
            <w:vMerge w:val="continue"/>
            <w:tcBorders>
              <w:left w:val="single" w:color="000000" w:sz="8" w:space="0"/>
              <w:bottom w:val="nil"/>
              <w:right w:val="single" w:color="000000" w:sz="8" w:space="0"/>
            </w:tcBorders>
            <w:vAlign w:val="center"/>
          </w:tcPr>
          <w:p>
            <w:pPr>
              <w:rPr>
                <w:sz w:val="24"/>
              </w:rPr>
            </w:pPr>
          </w:p>
        </w:tc>
        <w:tc>
          <w:tcPr>
            <w:tcW w:w="1007" w:type="pct"/>
            <w:tcBorders>
              <w:top w:val="nil"/>
              <w:left w:val="nil"/>
              <w:bottom w:val="nil"/>
              <w:right w:val="single" w:color="000000" w:sz="8" w:space="0"/>
            </w:tcBorders>
            <w:vAlign w:val="center"/>
          </w:tcPr>
          <w:p>
            <w:pPr>
              <w:rPr>
                <w:sz w:val="24"/>
              </w:rPr>
            </w:pPr>
            <w:r>
              <w:rPr>
                <w:rFonts w:hint="eastAsia"/>
                <w:sz w:val="24"/>
              </w:rPr>
              <w:t>…</w:t>
            </w:r>
          </w:p>
        </w:tc>
        <w:tc>
          <w:tcPr>
            <w:tcW w:w="1062" w:type="pct"/>
            <w:tcBorders>
              <w:top w:val="nil"/>
              <w:left w:val="nil"/>
              <w:bottom w:val="nil"/>
              <w:right w:val="single" w:color="000000" w:sz="8" w:space="0"/>
            </w:tcBorders>
            <w:noWrap/>
            <w:vAlign w:val="center"/>
          </w:tcPr>
          <w:p>
            <w:pPr>
              <w:rPr>
                <w:sz w:val="24"/>
              </w:rPr>
            </w:pPr>
            <w:r>
              <w:rPr>
                <w:rFonts w:hint="eastAsia"/>
                <w:sz w:val="24"/>
              </w:rPr>
              <w:t>…</w:t>
            </w:r>
          </w:p>
        </w:tc>
      </w:tr>
      <w:tr>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pPr>
              <w:rPr>
                <w:sz w:val="24"/>
              </w:rPr>
            </w:pPr>
            <w:r>
              <w:rPr>
                <w:rFonts w:hint="eastAsia"/>
                <w:sz w:val="24"/>
              </w:rPr>
              <w:t>备注：本表内容须根据供应商性质如实填写，表内“/”为选择内容，请删除与供应商性质无关的选项。</w:t>
            </w:r>
          </w:p>
        </w:tc>
      </w:tr>
    </w:tbl>
    <w:p>
      <w:pPr>
        <w:pStyle w:val="4"/>
        <w:rPr>
          <w:color w:val="auto"/>
        </w:rPr>
      </w:pPr>
    </w:p>
    <w:p>
      <w:pPr>
        <w:rPr>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
      <w:pPr>
        <w:spacing w:line="360" w:lineRule="atLeast"/>
      </w:pPr>
    </w:p>
    <w:p>
      <w:pPr>
        <w:spacing w:line="360" w:lineRule="atLeast"/>
        <w:jc w:val="center"/>
      </w:pPr>
      <w: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ascii="宋体" w:hAnsi="宋体"/>
          <w:sz w:val="24"/>
        </w:rPr>
      </w:pPr>
      <w:r>
        <w:rPr>
          <w:rFonts w:hint="eastAsia" w:ascii="宋体" w:hAnsi="宋体"/>
          <w:sz w:val="24"/>
        </w:rPr>
        <w:t xml:space="preserve">      </w:t>
      </w:r>
    </w:p>
    <w:p>
      <w:pPr>
        <w:pStyle w:val="4"/>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4"/>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pStyle w:val="4"/>
      </w:pPr>
    </w:p>
    <w:p>
      <w:pPr>
        <w:widowControl/>
        <w:spacing w:line="240" w:lineRule="auto"/>
        <w:jc w:val="left"/>
      </w:pPr>
      <w:r>
        <w:br w:type="page"/>
      </w:r>
      <w:bookmarkStart w:id="3" w:name="_GoBack"/>
      <w:bookmarkEnd w:id="3"/>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e1372e5e-8bbc-4b36-afd1-3c7cc42e82e1"/>
  </w:docVars>
  <w:rsids>
    <w:rsidRoot w:val="3DAE17FE"/>
    <w:rsid w:val="00347CE2"/>
    <w:rsid w:val="005214F3"/>
    <w:rsid w:val="007C70C5"/>
    <w:rsid w:val="0099099F"/>
    <w:rsid w:val="00B813EA"/>
    <w:rsid w:val="041A6759"/>
    <w:rsid w:val="3DAE17FE"/>
    <w:rsid w:val="416A2100"/>
    <w:rsid w:val="49E669E4"/>
    <w:rsid w:val="6B4858A9"/>
    <w:rsid w:val="71A3274E"/>
    <w:rsid w:val="71A62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kern w:val="0"/>
      <w:sz w:val="20"/>
    </w:rPr>
  </w:style>
  <w:style w:type="paragraph" w:styleId="4">
    <w:name w:val="Body Text"/>
    <w:basedOn w:val="1"/>
    <w:next w:val="1"/>
    <w:qFormat/>
    <w:uiPriority w:val="0"/>
    <w:rPr>
      <w:color w:val="993300"/>
      <w:sz w:val="24"/>
    </w:rPr>
  </w:style>
  <w:style w:type="paragraph" w:styleId="5">
    <w:name w:val="Plain Text"/>
    <w:basedOn w:val="1"/>
    <w:qFormat/>
    <w:uiPriority w:val="99"/>
    <w:rPr>
      <w:rFonts w:ascii="宋体" w:hAnsi="Courier New" w:cs="Courier New"/>
      <w:szCs w:val="21"/>
    </w:rPr>
  </w:style>
  <w:style w:type="paragraph" w:styleId="6">
    <w:name w:val="footer"/>
    <w:basedOn w:val="1"/>
    <w:link w:val="11"/>
    <w:uiPriority w:val="0"/>
    <w:pPr>
      <w:tabs>
        <w:tab w:val="center" w:pos="4153"/>
        <w:tab w:val="right" w:pos="8306"/>
      </w:tabs>
      <w:snapToGrid w:val="0"/>
      <w:spacing w:line="240" w:lineRule="auto"/>
      <w:jc w:val="left"/>
    </w:pPr>
    <w:rPr>
      <w:sz w:val="18"/>
      <w:szCs w:val="18"/>
    </w:rPr>
  </w:style>
  <w:style w:type="paragraph" w:styleId="7">
    <w:name w:val="header"/>
    <w:basedOn w:val="1"/>
    <w:link w:val="10"/>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3124</Words>
  <Characters>3156</Characters>
  <Lines>30</Lines>
  <Paragraphs>8</Paragraphs>
  <TotalTime>1</TotalTime>
  <ScaleCrop>false</ScaleCrop>
  <LinksUpToDate>false</LinksUpToDate>
  <CharactersWithSpaces>4092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2025-05-30T05:53:16Z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54B67335D90147DB8EE9DC5C8BF71E0A_11</vt:lpwstr>
  </property>
</Properties>
</file>