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版本号：CTSD2025-FW-017.1B120250529001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陕西省地质灾害防范调度业务体系建设项目(二次)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CTSD2025-FW-017.1B1</w:t>
      </w:r>
      <w:r>
        <w:br/>
      </w:r>
      <w:r>
        <w:br/>
      </w:r>
      <w:r>
        <w:br/>
      </w:r>
    </w:p>
    <w:p>
      <w:pPr>
        <w:pStyle w:val="null3"/>
        <w:jc w:val="center"/>
        <w:outlineLvl w:val="2"/>
      </w:pPr>
      <w:r>
        <w:rPr>
          <w:rFonts w:ascii="仿宋_GB2312" w:hAnsi="仿宋_GB2312" w:cs="仿宋_GB2312" w:eastAsia="仿宋_GB2312"/>
          <w:sz w:val="28"/>
          <w:b/>
        </w:rPr>
        <w:t>陕西省自然资源信息中心（陕西省地质资料档案馆）</w:t>
      </w:r>
    </w:p>
    <w:p>
      <w:pPr>
        <w:pStyle w:val="null3"/>
        <w:jc w:val="center"/>
        <w:outlineLvl w:val="2"/>
      </w:pPr>
      <w:r>
        <w:rPr>
          <w:rFonts w:ascii="仿宋_GB2312" w:hAnsi="仿宋_GB2312" w:cs="仿宋_GB2312" w:eastAsia="仿宋_GB2312"/>
          <w:sz w:val="28"/>
          <w:b/>
        </w:rPr>
        <w:t>城投时代（陕西）项目管理有限公司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城投时代（陕西）项目管理有限公司</w:t>
      </w:r>
      <w:r>
        <w:rPr>
          <w:rFonts w:ascii="仿宋_GB2312" w:hAnsi="仿宋_GB2312" w:cs="仿宋_GB2312" w:eastAsia="仿宋_GB2312"/>
        </w:rPr>
        <w:t>（以下简称“代理机构”）受</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委托，拟对</w:t>
      </w:r>
      <w:r>
        <w:rPr>
          <w:rFonts w:ascii="仿宋_GB2312" w:hAnsi="仿宋_GB2312" w:cs="仿宋_GB2312" w:eastAsia="仿宋_GB2312"/>
        </w:rPr>
        <w:t>陕西省地质灾害防范调度业务体系建设项目(二次)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CTSD2025-FW-017.1B1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陕西省地质灾害防范调度业务体系建设项目(二次)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提升陕西省地质灾害指挥调度体系的分析决策能力和指挥调度效率，在现有基础设施、视频会商与数据资源池建设基础上，充分整合全省地质灾害应急事件信息资源，提升建立省-市-县三级互联互通的防范调度体系，发挥指挥调度神经中枢和信息中心作用，实现上传下达、综合汇聚、分析研判、指挥调度和信息发布等功能，为突发事件下的应急响应、会商、决策、指挥等全流程提供支持，有效提升应急响应速度和指挥决策能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2、信用记录：不得为“信用中国” 网站（www.creditchina.gov.cn）严重失信主体和重大 税收违法失信主体的供应商，不得为中国政府采购网（www.ccgp.gov.cn）政府 采购严重违法失信行为记录名单中被财政部门禁止参加政府采购活动的的供应商。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陕西省自然资源信息中心（陕西省地质资料档案馆）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陕西省自然资源信息中心经办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029-87852040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城投时代（陕西）项目管理有限公司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陕西省西安市未央区凤城七路联益中心501室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刘力玮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029-89160083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开户名称：城投时代（陕西）项目管理有限公司</w:t>
            </w:r>
          </w:p>
          <w:p>
            <w:pPr>
              <w:pStyle w:val="null3"/>
            </w:pPr>
            <w:r>
              <w:rPr>
                <w:rFonts w:ascii="仿宋_GB2312" w:hAnsi="仿宋_GB2312" w:cs="仿宋_GB2312" w:eastAsia="仿宋_GB2312"/>
              </w:rPr>
              <w:t>开户银行：西安银行股份有限公司高新四路支行</w:t>
            </w:r>
          </w:p>
          <w:p>
            <w:pPr>
              <w:pStyle w:val="null3"/>
            </w:pPr>
            <w:r>
              <w:rPr>
                <w:rFonts w:ascii="仿宋_GB2312" w:hAnsi="仿宋_GB2312" w:cs="仿宋_GB2312" w:eastAsia="仿宋_GB2312"/>
              </w:rPr>
              <w:t>银行账号：611011520000003218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 。 2、支付方式：成交供应商应在领取通知书的同时，支付本项目代理服务费。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和</w:t>
      </w:r>
      <w:r>
        <w:rPr>
          <w:rFonts w:ascii="仿宋_GB2312" w:hAnsi="仿宋_GB2312" w:cs="仿宋_GB2312" w:eastAsia="仿宋_GB2312"/>
        </w:rPr>
        <w:t>城投时代（陕西）项目管理有限公司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负责解释。除上述磋商文件内容，其他内容由</w:t>
      </w:r>
      <w:r>
        <w:rPr>
          <w:rFonts w:ascii="仿宋_GB2312" w:hAnsi="仿宋_GB2312" w:cs="仿宋_GB2312" w:eastAsia="仿宋_GB2312"/>
        </w:rPr>
        <w:t>城投时代（陕西）项目管理有限公司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城投时代（陕西）项目管理有限公司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满足采购需求，按照合同具体约定。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联系人：刘力玮</w:t>
      </w:r>
    </w:p>
    <w:p>
      <w:pPr>
        <w:pStyle w:val="null3"/>
      </w:pPr>
      <w:r>
        <w:rPr>
          <w:rFonts w:ascii="仿宋_GB2312" w:hAnsi="仿宋_GB2312" w:cs="仿宋_GB2312" w:eastAsia="仿宋_GB2312"/>
        </w:rPr>
        <w:t>联系电话：029-89160083</w:t>
      </w:r>
    </w:p>
    <w:p>
      <w:pPr>
        <w:pStyle w:val="null3"/>
      </w:pPr>
      <w:r>
        <w:rPr>
          <w:rFonts w:ascii="仿宋_GB2312" w:hAnsi="仿宋_GB2312" w:cs="仿宋_GB2312" w:eastAsia="仿宋_GB2312"/>
        </w:rPr>
        <w:t>地址：陕西省西安市未央区凤城七路联益中心5楼501室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提升陕西省地质灾害指挥调度体系的分析决策能力和指挥调度效率，在现有基础设施、视频会商与数据资源池建设基础上，充分整合全省地质灾害应急事件信息资源，提升建立省-市-县三级互联互通的防范调度体系，发挥指挥调度神经中枢和信息中心作用，实现上传下达、综合汇聚、分析研判、指挥调度和信息发布等功能，为突发事件下的应急响应、会商、决策、指挥等全流程提供支持，有效提升应急响应速度和指挥决策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陕西省地质灾害防范调度业务体系建设项目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标的名称：陕西省地质灾害防范调度业务体系建设项目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240"/>
              <w:outlineLvl w:val="1"/>
            </w:pPr>
            <w:r>
              <w:rPr>
                <w:rFonts w:ascii="仿宋_GB2312" w:hAnsi="仿宋_GB2312" w:cs="仿宋_GB2312" w:eastAsia="仿宋_GB2312"/>
                <w:sz w:val="24"/>
                <w:b/>
              </w:rPr>
              <w:t>一、项目背景</w:t>
            </w:r>
          </w:p>
          <w:p>
            <w:pPr>
              <w:pStyle w:val="null3"/>
              <w:ind w:firstLine="480"/>
              <w:jc w:val="both"/>
            </w:pPr>
            <w:r>
              <w:rPr>
                <w:rFonts w:ascii="仿宋_GB2312" w:hAnsi="仿宋_GB2312" w:cs="仿宋_GB2312" w:eastAsia="仿宋_GB2312"/>
                <w:sz w:val="24"/>
              </w:rPr>
              <w:t>为进一步提升陕西省地质灾害指挥调度体系的分析决策能力和指挥调度效率，在现有基础设施、视频会商与数据资源池建设基础上，充分整合全省地质灾害应急事件信息资源，提升建立省</w:t>
            </w:r>
            <w:r>
              <w:rPr>
                <w:rFonts w:ascii="仿宋_GB2312" w:hAnsi="仿宋_GB2312" w:cs="仿宋_GB2312" w:eastAsia="仿宋_GB2312"/>
                <w:sz w:val="24"/>
              </w:rPr>
              <w:t>-市-县三级互联互通的防范调度体系，发挥指挥调度神经中枢和信息中心作用，实现上传下达、综合汇聚、分析研判、指挥调度和信息发布等功能，为突发事件下的应急响应、会商、决策、指挥等全流程提供支持，有效提升应急响应速度和指挥决策能力。</w:t>
            </w:r>
          </w:p>
          <w:p>
            <w:pPr>
              <w:pStyle w:val="null3"/>
              <w:spacing w:before="240" w:after="240"/>
              <w:outlineLvl w:val="1"/>
            </w:pPr>
            <w:r>
              <w:rPr>
                <w:rFonts w:ascii="仿宋_GB2312" w:hAnsi="仿宋_GB2312" w:cs="仿宋_GB2312" w:eastAsia="仿宋_GB2312"/>
                <w:sz w:val="24"/>
                <w:b/>
              </w:rPr>
              <w:t>二、建设依据</w:t>
            </w:r>
          </w:p>
          <w:p>
            <w:pPr>
              <w:pStyle w:val="null3"/>
              <w:ind w:firstLine="480"/>
              <w:jc w:val="both"/>
            </w:pPr>
            <w:r>
              <w:rPr>
                <w:rFonts w:ascii="仿宋_GB2312" w:hAnsi="仿宋_GB2312" w:cs="仿宋_GB2312" w:eastAsia="仿宋_GB2312"/>
                <w:sz w:val="24"/>
              </w:rPr>
              <w:t>（一）政策文件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《地质灾害防治条例》；</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《全国地质灾害防治</w:t>
            </w:r>
            <w:r>
              <w:rPr>
                <w:rFonts w:ascii="仿宋_GB2312" w:hAnsi="仿宋_GB2312" w:cs="仿宋_GB2312" w:eastAsia="仿宋_GB2312"/>
                <w:sz w:val="24"/>
              </w:rPr>
              <w:t>“十四五”规划》（自然资发</w:t>
            </w:r>
            <w:r>
              <w:rPr>
                <w:rFonts w:ascii="仿宋_GB2312" w:hAnsi="仿宋_GB2312" w:cs="仿宋_GB2312" w:eastAsia="仿宋_GB2312"/>
                <w:sz w:val="24"/>
              </w:rPr>
              <w:t>〔</w:t>
            </w:r>
            <w:r>
              <w:rPr>
                <w:rFonts w:ascii="仿宋_GB2312" w:hAnsi="仿宋_GB2312" w:cs="仿宋_GB2312" w:eastAsia="仿宋_GB2312"/>
                <w:sz w:val="24"/>
              </w:rPr>
              <w:t>2022〕</w:t>
            </w:r>
            <w:r>
              <w:rPr>
                <w:rFonts w:ascii="仿宋_GB2312" w:hAnsi="仿宋_GB2312" w:cs="仿宋_GB2312" w:eastAsia="仿宋_GB2312"/>
                <w:sz w:val="24"/>
              </w:rPr>
              <w:t>216号）；</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、《陕西省地质灾害防治条例》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《陕西省地质灾害防治</w:t>
            </w:r>
            <w:r>
              <w:rPr>
                <w:rFonts w:ascii="仿宋_GB2312" w:hAnsi="仿宋_GB2312" w:cs="仿宋_GB2312" w:eastAsia="仿宋_GB2312"/>
                <w:sz w:val="24"/>
              </w:rPr>
              <w:t>“十四五”规划》（陕自然资发〔202</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36号）；</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、《陕西省</w:t>
            </w:r>
            <w:r>
              <w:rPr>
                <w:rFonts w:ascii="仿宋_GB2312" w:hAnsi="仿宋_GB2312" w:cs="仿宋_GB2312" w:eastAsia="仿宋_GB2312"/>
                <w:sz w:val="24"/>
              </w:rPr>
              <w:t>2023年增发国债地质灾害综合防治体系建设工程实施方案</w:t>
            </w:r>
            <w:r>
              <w:rPr>
                <w:rFonts w:ascii="仿宋_GB2312" w:hAnsi="仿宋_GB2312" w:cs="仿宋_GB2312" w:eastAsia="仿宋_GB2312"/>
                <w:sz w:val="24"/>
              </w:rPr>
              <w:t>》（陕自然资发〔</w:t>
            </w:r>
            <w:r>
              <w:rPr>
                <w:rFonts w:ascii="仿宋_GB2312" w:hAnsi="仿宋_GB2312" w:cs="仿宋_GB2312" w:eastAsia="仿宋_GB2312"/>
                <w:sz w:val="24"/>
              </w:rPr>
              <w:t>2024</w:t>
            </w:r>
            <w:r>
              <w:rPr>
                <w:rFonts w:ascii="仿宋_GB2312" w:hAnsi="仿宋_GB2312" w:cs="仿宋_GB2312" w:eastAsia="仿宋_GB2312"/>
                <w:sz w:val="24"/>
              </w:rPr>
              <w:t>〕</w:t>
            </w:r>
            <w:r>
              <w:rPr>
                <w:rFonts w:ascii="仿宋_GB2312" w:hAnsi="仿宋_GB2312" w:cs="仿宋_GB2312" w:eastAsia="仿宋_GB2312"/>
                <w:sz w:val="24"/>
              </w:rPr>
              <w:t>326号）</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（二）技术规范</w:t>
            </w:r>
          </w:p>
          <w:p>
            <w:pPr>
              <w:pStyle w:val="null3"/>
              <w:ind w:firstLine="480"/>
              <w:jc w:val="both"/>
            </w:pPr>
            <w:r>
              <w:rPr>
                <w:rFonts w:ascii="仿宋_GB2312" w:hAnsi="仿宋_GB2312" w:cs="仿宋_GB2312" w:eastAsia="仿宋_GB2312"/>
                <w:sz w:val="24"/>
              </w:rPr>
              <w:t>《计算机软件产品开发文件编制指南》（</w:t>
            </w:r>
            <w:r>
              <w:rPr>
                <w:rFonts w:ascii="仿宋_GB2312" w:hAnsi="仿宋_GB2312" w:cs="仿宋_GB2312" w:eastAsia="仿宋_GB2312"/>
                <w:sz w:val="24"/>
              </w:rPr>
              <w:t>GB8567-2006）</w:t>
            </w:r>
          </w:p>
          <w:p>
            <w:pPr>
              <w:pStyle w:val="null3"/>
              <w:ind w:firstLine="480"/>
              <w:jc w:val="both"/>
            </w:pPr>
            <w:r>
              <w:rPr>
                <w:rFonts w:ascii="仿宋_GB2312" w:hAnsi="仿宋_GB2312" w:cs="仿宋_GB2312" w:eastAsia="仿宋_GB2312"/>
                <w:sz w:val="24"/>
              </w:rPr>
              <w:t>《计算机软件需求说明编制指南》（</w:t>
            </w:r>
            <w:r>
              <w:rPr>
                <w:rFonts w:ascii="仿宋_GB2312" w:hAnsi="仿宋_GB2312" w:cs="仿宋_GB2312" w:eastAsia="仿宋_GB2312"/>
                <w:sz w:val="24"/>
              </w:rPr>
              <w:t>GB9385-2008）</w:t>
            </w:r>
          </w:p>
          <w:p>
            <w:pPr>
              <w:pStyle w:val="null3"/>
              <w:ind w:firstLine="480"/>
              <w:jc w:val="both"/>
            </w:pPr>
            <w:r>
              <w:rPr>
                <w:rFonts w:ascii="仿宋_GB2312" w:hAnsi="仿宋_GB2312" w:cs="仿宋_GB2312" w:eastAsia="仿宋_GB2312"/>
                <w:sz w:val="24"/>
              </w:rPr>
              <w:t>《计算机软件测试文档编制规范》（</w:t>
            </w:r>
            <w:r>
              <w:rPr>
                <w:rFonts w:ascii="仿宋_GB2312" w:hAnsi="仿宋_GB2312" w:cs="仿宋_GB2312" w:eastAsia="仿宋_GB2312"/>
                <w:sz w:val="24"/>
              </w:rPr>
              <w:t>GB/T9386-2008）</w:t>
            </w:r>
          </w:p>
          <w:p>
            <w:pPr>
              <w:pStyle w:val="null3"/>
              <w:ind w:firstLine="480"/>
              <w:jc w:val="both"/>
            </w:pPr>
            <w:r>
              <w:rPr>
                <w:rFonts w:ascii="仿宋_GB2312" w:hAnsi="仿宋_GB2312" w:cs="仿宋_GB2312" w:eastAsia="仿宋_GB2312"/>
                <w:sz w:val="24"/>
              </w:rPr>
              <w:t>《软件工程术语》（</w:t>
            </w:r>
            <w:r>
              <w:rPr>
                <w:rFonts w:ascii="仿宋_GB2312" w:hAnsi="仿宋_GB2312" w:cs="仿宋_GB2312" w:eastAsia="仿宋_GB2312"/>
                <w:sz w:val="24"/>
              </w:rPr>
              <w:t>GB/T11457）</w:t>
            </w:r>
          </w:p>
          <w:p>
            <w:pPr>
              <w:pStyle w:val="null3"/>
              <w:ind w:firstLine="480"/>
              <w:jc w:val="both"/>
            </w:pPr>
            <w:r>
              <w:rPr>
                <w:rFonts w:ascii="仿宋_GB2312" w:hAnsi="仿宋_GB2312" w:cs="仿宋_GB2312" w:eastAsia="仿宋_GB2312"/>
                <w:sz w:val="24"/>
              </w:rPr>
              <w:t>《电子证照共享服务接口规范》（</w:t>
            </w:r>
            <w:r>
              <w:rPr>
                <w:rFonts w:ascii="仿宋_GB2312" w:hAnsi="仿宋_GB2312" w:cs="仿宋_GB2312" w:eastAsia="仿宋_GB2312"/>
                <w:sz w:val="24"/>
              </w:rPr>
              <w:t>GB/T 36906-2018）</w:t>
            </w:r>
          </w:p>
          <w:p>
            <w:pPr>
              <w:pStyle w:val="null3"/>
              <w:ind w:firstLine="480"/>
              <w:jc w:val="both"/>
            </w:pPr>
            <w:r>
              <w:rPr>
                <w:rFonts w:ascii="仿宋_GB2312" w:hAnsi="仿宋_GB2312" w:cs="仿宋_GB2312" w:eastAsia="仿宋_GB2312"/>
                <w:sz w:val="24"/>
              </w:rPr>
              <w:t>《信息安全技术网络安全等级保护基本要求》（</w:t>
            </w:r>
            <w:r>
              <w:rPr>
                <w:rFonts w:ascii="仿宋_GB2312" w:hAnsi="仿宋_GB2312" w:cs="仿宋_GB2312" w:eastAsia="仿宋_GB2312"/>
                <w:sz w:val="24"/>
              </w:rPr>
              <w:t>GB/T22239）</w:t>
            </w:r>
          </w:p>
          <w:p>
            <w:pPr>
              <w:pStyle w:val="null3"/>
              <w:ind w:firstLine="480"/>
              <w:jc w:val="both"/>
            </w:pPr>
            <w:r>
              <w:rPr>
                <w:rFonts w:ascii="仿宋_GB2312" w:hAnsi="仿宋_GB2312" w:cs="仿宋_GB2312" w:eastAsia="仿宋_GB2312"/>
                <w:sz w:val="24"/>
              </w:rPr>
              <w:t>《信息安全技术网络安全等级保护定级指南》（</w:t>
            </w:r>
            <w:r>
              <w:rPr>
                <w:rFonts w:ascii="仿宋_GB2312" w:hAnsi="仿宋_GB2312" w:cs="仿宋_GB2312" w:eastAsia="仿宋_GB2312"/>
                <w:sz w:val="24"/>
              </w:rPr>
              <w:t>GB/T22240）</w:t>
            </w:r>
          </w:p>
          <w:p>
            <w:pPr>
              <w:pStyle w:val="null3"/>
              <w:ind w:firstLine="480"/>
              <w:jc w:val="both"/>
            </w:pPr>
            <w:r>
              <w:rPr>
                <w:rFonts w:ascii="仿宋_GB2312" w:hAnsi="仿宋_GB2312" w:cs="仿宋_GB2312" w:eastAsia="仿宋_GB2312"/>
                <w:sz w:val="24"/>
              </w:rPr>
              <w:t>《信息安全技术信息系统密码应用基本要求》（</w:t>
            </w:r>
            <w:r>
              <w:rPr>
                <w:rFonts w:ascii="仿宋_GB2312" w:hAnsi="仿宋_GB2312" w:cs="仿宋_GB2312" w:eastAsia="仿宋_GB2312"/>
                <w:sz w:val="24"/>
              </w:rPr>
              <w:t>GB/T39786）</w:t>
            </w:r>
          </w:p>
          <w:p>
            <w:pPr>
              <w:pStyle w:val="null3"/>
              <w:spacing w:before="240" w:after="240"/>
              <w:outlineLvl w:val="1"/>
            </w:pPr>
            <w:r>
              <w:rPr>
                <w:rFonts w:ascii="仿宋_GB2312" w:hAnsi="仿宋_GB2312" w:cs="仿宋_GB2312" w:eastAsia="仿宋_GB2312"/>
                <w:sz w:val="24"/>
                <w:b/>
              </w:rPr>
              <w:t>三、主要任务</w:t>
            </w:r>
          </w:p>
          <w:p>
            <w:pPr>
              <w:pStyle w:val="null3"/>
              <w:ind w:firstLine="480"/>
              <w:jc w:val="both"/>
            </w:pPr>
            <w:r>
              <w:rPr>
                <w:rFonts w:ascii="仿宋_GB2312" w:hAnsi="仿宋_GB2312" w:cs="仿宋_GB2312" w:eastAsia="仿宋_GB2312"/>
                <w:sz w:val="24"/>
              </w:rPr>
              <w:t>本项目建设内容主要包括</w:t>
            </w:r>
            <w:r>
              <w:rPr>
                <w:rFonts w:ascii="仿宋_GB2312" w:hAnsi="仿宋_GB2312" w:cs="仿宋_GB2312" w:eastAsia="仿宋_GB2312"/>
                <w:sz w:val="24"/>
              </w:rPr>
              <w:t>陕西省地质灾害应急指挥中心视频会议系统服务能力建设、陕西省地质灾害应急指挥能力升级两</w:t>
            </w:r>
            <w:r>
              <w:rPr>
                <w:rFonts w:ascii="仿宋_GB2312" w:hAnsi="仿宋_GB2312" w:cs="仿宋_GB2312" w:eastAsia="仿宋_GB2312"/>
                <w:sz w:val="24"/>
              </w:rPr>
              <w:t>个方面：</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陕西省地质灾害应急指挥中心</w:t>
            </w:r>
            <w:r>
              <w:rPr>
                <w:rFonts w:ascii="仿宋_GB2312" w:hAnsi="仿宋_GB2312" w:cs="仿宋_GB2312" w:eastAsia="仿宋_GB2312"/>
                <w:sz w:val="24"/>
              </w:rPr>
              <w:t>视频会议系统服务能力建设</w:t>
            </w:r>
          </w:p>
          <w:p>
            <w:pPr>
              <w:pStyle w:val="null3"/>
              <w:ind w:firstLine="480"/>
              <w:jc w:val="both"/>
            </w:pPr>
            <w:r>
              <w:rPr>
                <w:rFonts w:ascii="仿宋_GB2312" w:hAnsi="仿宋_GB2312" w:cs="仿宋_GB2312" w:eastAsia="仿宋_GB2312"/>
                <w:sz w:val="24"/>
              </w:rPr>
              <w:t>视频会议服务由</w:t>
            </w:r>
            <w:r>
              <w:rPr>
                <w:rFonts w:ascii="仿宋_GB2312" w:hAnsi="仿宋_GB2312" w:cs="仿宋_GB2312" w:eastAsia="仿宋_GB2312"/>
                <w:sz w:val="24"/>
              </w:rPr>
              <w:t>1个</w:t>
            </w:r>
            <w:r>
              <w:rPr>
                <w:rFonts w:ascii="仿宋_GB2312" w:hAnsi="仿宋_GB2312" w:cs="仿宋_GB2312" w:eastAsia="仿宋_GB2312"/>
                <w:sz w:val="24"/>
              </w:rPr>
              <w:t>主会场</w:t>
            </w:r>
            <w:r>
              <w:rPr>
                <w:rFonts w:ascii="仿宋_GB2312" w:hAnsi="仿宋_GB2312" w:cs="仿宋_GB2312" w:eastAsia="仿宋_GB2312"/>
                <w:sz w:val="24"/>
              </w:rPr>
              <w:t>（</w:t>
            </w:r>
            <w:r>
              <w:rPr>
                <w:rFonts w:ascii="仿宋_GB2312" w:hAnsi="仿宋_GB2312" w:cs="仿宋_GB2312" w:eastAsia="仿宋_GB2312"/>
                <w:sz w:val="24"/>
              </w:rPr>
              <w:t>环境总站主</w:t>
            </w:r>
            <w:r>
              <w:rPr>
                <w:rFonts w:ascii="仿宋_GB2312" w:hAnsi="仿宋_GB2312" w:cs="仿宋_GB2312" w:eastAsia="仿宋_GB2312"/>
                <w:sz w:val="24"/>
              </w:rPr>
              <w:t>中心）</w:t>
            </w:r>
            <w:r>
              <w:rPr>
                <w:rFonts w:ascii="仿宋_GB2312" w:hAnsi="仿宋_GB2312" w:cs="仿宋_GB2312" w:eastAsia="仿宋_GB2312"/>
                <w:sz w:val="24"/>
              </w:rPr>
              <w:t>、</w:t>
            </w:r>
            <w:r>
              <w:rPr>
                <w:rFonts w:ascii="仿宋_GB2312" w:hAnsi="仿宋_GB2312" w:cs="仿宋_GB2312" w:eastAsia="仿宋_GB2312"/>
                <w:sz w:val="24"/>
              </w:rPr>
              <w:t>123个市县级分会场和150个软终端组成，服务内容包括：</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1）主会场服务：服务省级主会场1个</w:t>
            </w:r>
            <w:r>
              <w:rPr>
                <w:rFonts w:ascii="仿宋_GB2312" w:hAnsi="仿宋_GB2312" w:cs="仿宋_GB2312" w:eastAsia="仿宋_GB2312"/>
                <w:sz w:val="24"/>
              </w:rPr>
              <w:t>（</w:t>
            </w:r>
            <w:r>
              <w:rPr>
                <w:rFonts w:ascii="仿宋_GB2312" w:hAnsi="仿宋_GB2312" w:cs="仿宋_GB2312" w:eastAsia="仿宋_GB2312"/>
                <w:sz w:val="24"/>
              </w:rPr>
              <w:t>环境总站主</w:t>
            </w:r>
            <w:r>
              <w:rPr>
                <w:rFonts w:ascii="仿宋_GB2312" w:hAnsi="仿宋_GB2312" w:cs="仿宋_GB2312" w:eastAsia="仿宋_GB2312"/>
                <w:sz w:val="24"/>
              </w:rPr>
              <w:t>中心）</w:t>
            </w:r>
            <w:r>
              <w:rPr>
                <w:rFonts w:ascii="仿宋_GB2312" w:hAnsi="仿宋_GB2312" w:cs="仿宋_GB2312" w:eastAsia="仿宋_GB2312"/>
                <w:sz w:val="24"/>
              </w:rPr>
              <w:t>，提供硬终端设备及网络服务。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2）分会场服务：服务市县级分会场123个，提供硬终端设备服务。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3）软终端服务：服务全省软终端会议接入，提供150个视频会议软终端或APP服务，支持安装在手机、平板电脑、PC电脑等终端。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4）重要会议保障服务：在重要会议场景下，提供视频会议服务保障工作，全程监控会议网络稳定性与设备运行状态，及时响应并解决突发故障，确保会议流畅进行。</w:t>
            </w:r>
          </w:p>
          <w:p>
            <w:pPr>
              <w:pStyle w:val="null3"/>
              <w:ind w:firstLine="480"/>
              <w:jc w:val="both"/>
            </w:pPr>
            <w:r>
              <w:rPr>
                <w:rFonts w:ascii="仿宋_GB2312" w:hAnsi="仿宋_GB2312" w:cs="仿宋_GB2312" w:eastAsia="仿宋_GB2312"/>
                <w:sz w:val="24"/>
              </w:rPr>
              <w:t>（二）</w:t>
            </w:r>
            <w:r>
              <w:rPr>
                <w:rFonts w:ascii="仿宋_GB2312" w:hAnsi="仿宋_GB2312" w:cs="仿宋_GB2312" w:eastAsia="仿宋_GB2312"/>
                <w:sz w:val="24"/>
              </w:rPr>
              <w:t>陕西省地质灾害应急指挥调度能力升级</w:t>
            </w:r>
          </w:p>
          <w:p>
            <w:pPr>
              <w:pStyle w:val="null3"/>
              <w:ind w:firstLine="480"/>
              <w:jc w:val="both"/>
            </w:pPr>
            <w:r>
              <w:rPr>
                <w:rFonts w:ascii="仿宋_GB2312" w:hAnsi="仿宋_GB2312" w:cs="仿宋_GB2312" w:eastAsia="仿宋_GB2312"/>
                <w:sz w:val="24"/>
              </w:rPr>
              <w:t>指挥调度数据资源汇聚：指挥调度数据资源汇聚，对接相关平台和系统，基于统一标准开展各类现势数据的汇聚整理，并与存量数据融合关联。</w:t>
            </w:r>
          </w:p>
          <w:p>
            <w:pPr>
              <w:pStyle w:val="null3"/>
              <w:ind w:firstLine="480"/>
              <w:jc w:val="both"/>
            </w:pPr>
            <w:r>
              <w:rPr>
                <w:rFonts w:ascii="仿宋_GB2312" w:hAnsi="仿宋_GB2312" w:cs="仿宋_GB2312" w:eastAsia="仿宋_GB2312"/>
                <w:sz w:val="24"/>
              </w:rPr>
              <w:t>分析研判功能升级：包括三维云渲染、三维数据处理功能优化，数据导入、分屏对比、辅助审查、二三维一体化数据展示，二三维空间分析、量算，时序分析等功能，以及数据协同标绘与信息共享等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指挥调度支撑能力建设：包括指挥调度体系梳理、指挥流程功能研发等。</w:t>
            </w:r>
          </w:p>
          <w:p>
            <w:pPr>
              <w:pStyle w:val="null3"/>
              <w:spacing w:before="240" w:after="240"/>
              <w:outlineLvl w:val="1"/>
            </w:pPr>
            <w:r>
              <w:rPr>
                <w:rFonts w:ascii="仿宋_GB2312" w:hAnsi="仿宋_GB2312" w:cs="仿宋_GB2312" w:eastAsia="仿宋_GB2312"/>
                <w:sz w:val="24"/>
                <w:b/>
              </w:rPr>
              <w:t>四、技术指标要求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陕西省地质灾害应急指挥中心视频会议系统服务能力建设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1）主会场服务：服务省级主会场</w:t>
            </w:r>
            <w:r>
              <w:rPr>
                <w:rFonts w:ascii="仿宋_GB2312" w:hAnsi="仿宋_GB2312" w:cs="仿宋_GB2312" w:eastAsia="仿宋_GB2312"/>
                <w:sz w:val="24"/>
              </w:rPr>
              <w:t>（</w:t>
            </w:r>
            <w:r>
              <w:rPr>
                <w:rFonts w:ascii="仿宋_GB2312" w:hAnsi="仿宋_GB2312" w:cs="仿宋_GB2312" w:eastAsia="仿宋_GB2312"/>
                <w:sz w:val="24"/>
              </w:rPr>
              <w:t>环境总站主</w:t>
            </w:r>
            <w:r>
              <w:rPr>
                <w:rFonts w:ascii="仿宋_GB2312" w:hAnsi="仿宋_GB2312" w:cs="仿宋_GB2312" w:eastAsia="仿宋_GB2312"/>
                <w:sz w:val="24"/>
              </w:rPr>
              <w:t>中心）</w:t>
            </w:r>
            <w:r>
              <w:rPr>
                <w:rFonts w:ascii="仿宋_GB2312" w:hAnsi="仿宋_GB2312" w:cs="仿宋_GB2312" w:eastAsia="仿宋_GB2312"/>
                <w:sz w:val="24"/>
              </w:rPr>
              <w:t>1个，提供硬终端设备及网络服务。服务要求：</w:t>
            </w:r>
          </w:p>
          <w:p>
            <w:pPr>
              <w:pStyle w:val="null3"/>
              <w:ind w:firstLine="480"/>
              <w:jc w:val="both"/>
            </w:pPr>
            <w:r>
              <w:rPr>
                <w:rFonts w:ascii="仿宋_GB2312" w:hAnsi="仿宋_GB2312" w:cs="仿宋_GB2312" w:eastAsia="仿宋_GB2312"/>
                <w:sz w:val="24"/>
              </w:rPr>
              <w:t>①支持4K分辨率；</w:t>
            </w:r>
          </w:p>
          <w:p>
            <w:pPr>
              <w:pStyle w:val="null3"/>
              <w:ind w:firstLine="480"/>
              <w:jc w:val="both"/>
            </w:pPr>
            <w:r>
              <w:rPr>
                <w:rFonts w:ascii="仿宋_GB2312" w:hAnsi="仿宋_GB2312" w:cs="仿宋_GB2312" w:eastAsia="仿宋_GB2312"/>
                <w:sz w:val="24"/>
              </w:rPr>
              <w:t>②支持不低于4路视频输入和2路视频输出；</w:t>
            </w:r>
          </w:p>
          <w:p>
            <w:pPr>
              <w:pStyle w:val="null3"/>
              <w:ind w:firstLine="480"/>
              <w:jc w:val="both"/>
            </w:pPr>
            <w:r>
              <w:rPr>
                <w:rFonts w:ascii="仿宋_GB2312" w:hAnsi="仿宋_GB2312" w:cs="仿宋_GB2312" w:eastAsia="仿宋_GB2312"/>
                <w:sz w:val="24"/>
              </w:rPr>
              <w:t>③支持不低于4路音频输入和2路音频输出；</w:t>
            </w:r>
          </w:p>
          <w:p>
            <w:pPr>
              <w:pStyle w:val="null3"/>
              <w:ind w:firstLine="480"/>
              <w:jc w:val="both"/>
            </w:pPr>
            <w:r>
              <w:rPr>
                <w:rFonts w:ascii="仿宋_GB2312" w:hAnsi="仿宋_GB2312" w:cs="仿宋_GB2312" w:eastAsia="仿宋_GB2312"/>
                <w:sz w:val="24"/>
              </w:rPr>
              <w:t>④支持多种会控方式，支持遥控器、电脑终端、平板等会控操作；</w:t>
            </w:r>
          </w:p>
          <w:p>
            <w:pPr>
              <w:pStyle w:val="null3"/>
              <w:ind w:firstLine="480"/>
              <w:jc w:val="both"/>
            </w:pPr>
            <w:r>
              <w:rPr>
                <w:rFonts w:ascii="仿宋_GB2312" w:hAnsi="仿宋_GB2312" w:cs="仿宋_GB2312" w:eastAsia="仿宋_GB2312"/>
                <w:sz w:val="24"/>
              </w:rPr>
              <w:t>⑤支持自动休眠功能；支持日志记录；</w:t>
            </w:r>
          </w:p>
          <w:p>
            <w:pPr>
              <w:pStyle w:val="null3"/>
              <w:ind w:firstLine="480"/>
              <w:jc w:val="both"/>
            </w:pPr>
            <w:r>
              <w:rPr>
                <w:rFonts w:ascii="仿宋_GB2312" w:hAnsi="仿宋_GB2312" w:cs="仿宋_GB2312" w:eastAsia="仿宋_GB2312"/>
                <w:sz w:val="24"/>
              </w:rPr>
              <w:t>⑥支持信令和媒体等加密功能；</w:t>
            </w:r>
          </w:p>
          <w:p>
            <w:pPr>
              <w:pStyle w:val="null3"/>
              <w:ind w:firstLine="480"/>
              <w:jc w:val="both"/>
            </w:pPr>
            <w:r>
              <w:rPr>
                <w:rFonts w:ascii="仿宋_GB2312" w:hAnsi="仿宋_GB2312" w:cs="仿宋_GB2312" w:eastAsia="仿宋_GB2312"/>
                <w:sz w:val="24"/>
              </w:rPr>
              <w:t>⑦支持高清视频、画中画，人脸识别、背景噪音抑制、回声消除等功能；</w:t>
            </w:r>
          </w:p>
          <w:p>
            <w:pPr>
              <w:pStyle w:val="null3"/>
              <w:ind w:firstLine="480"/>
              <w:jc w:val="both"/>
            </w:pPr>
            <w:r>
              <w:rPr>
                <w:rFonts w:ascii="仿宋_GB2312" w:hAnsi="仿宋_GB2312" w:cs="仿宋_GB2312" w:eastAsia="仿宋_GB2312"/>
                <w:sz w:val="24"/>
              </w:rPr>
              <w:t>⑧提供不低于20M的互联网专线服务。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2）分会场服务：服务市县级分会场123个，提供硬终端设备服务。服务要求：</w:t>
            </w:r>
          </w:p>
          <w:p>
            <w:pPr>
              <w:pStyle w:val="null3"/>
              <w:ind w:firstLine="480"/>
              <w:jc w:val="both"/>
            </w:pPr>
            <w:r>
              <w:rPr>
                <w:rFonts w:ascii="仿宋_GB2312" w:hAnsi="仿宋_GB2312" w:cs="仿宋_GB2312" w:eastAsia="仿宋_GB2312"/>
                <w:sz w:val="24"/>
              </w:rPr>
              <w:t>①支持1080P分辨率；</w:t>
            </w:r>
          </w:p>
          <w:p>
            <w:pPr>
              <w:pStyle w:val="null3"/>
              <w:ind w:firstLine="480"/>
              <w:jc w:val="both"/>
            </w:pPr>
            <w:r>
              <w:rPr>
                <w:rFonts w:ascii="仿宋_GB2312" w:hAnsi="仿宋_GB2312" w:cs="仿宋_GB2312" w:eastAsia="仿宋_GB2312"/>
                <w:sz w:val="24"/>
              </w:rPr>
              <w:t>②支持不低于10寸触摸屏；</w:t>
            </w:r>
          </w:p>
          <w:p>
            <w:pPr>
              <w:pStyle w:val="null3"/>
              <w:ind w:firstLine="480"/>
              <w:jc w:val="both"/>
            </w:pPr>
            <w:r>
              <w:rPr>
                <w:rFonts w:ascii="仿宋_GB2312" w:hAnsi="仿宋_GB2312" w:cs="仿宋_GB2312" w:eastAsia="仿宋_GB2312"/>
                <w:sz w:val="24"/>
              </w:rPr>
              <w:t>③支持不低于1路音视频输入和1路音视频输出；</w:t>
            </w:r>
          </w:p>
          <w:p>
            <w:pPr>
              <w:pStyle w:val="null3"/>
              <w:ind w:firstLine="480"/>
              <w:jc w:val="both"/>
            </w:pPr>
            <w:r>
              <w:rPr>
                <w:rFonts w:ascii="仿宋_GB2312" w:hAnsi="仿宋_GB2312" w:cs="仿宋_GB2312" w:eastAsia="仿宋_GB2312"/>
                <w:sz w:val="24"/>
              </w:rPr>
              <w:t>④支持WIFI功能；</w:t>
            </w:r>
          </w:p>
          <w:p>
            <w:pPr>
              <w:pStyle w:val="null3"/>
              <w:ind w:firstLine="480"/>
              <w:jc w:val="both"/>
            </w:pPr>
            <w:r>
              <w:rPr>
                <w:rFonts w:ascii="仿宋_GB2312" w:hAnsi="仿宋_GB2312" w:cs="仿宋_GB2312" w:eastAsia="仿宋_GB2312"/>
                <w:sz w:val="24"/>
              </w:rPr>
              <w:t>⑤支持恢复出厂设置、日志记录等功能。</w:t>
            </w:r>
          </w:p>
          <w:p>
            <w:pPr>
              <w:pStyle w:val="null3"/>
              <w:ind w:firstLine="480"/>
              <w:jc w:val="both"/>
            </w:pPr>
            <w:r>
              <w:rPr>
                <w:rFonts w:ascii="仿宋_GB2312" w:hAnsi="仿宋_GB2312" w:cs="仿宋_GB2312" w:eastAsia="仿宋_GB2312"/>
                <w:sz w:val="24"/>
              </w:rPr>
              <w:t>⑥摄像头像素不低于200w；</w:t>
            </w:r>
          </w:p>
          <w:p>
            <w:pPr>
              <w:pStyle w:val="null3"/>
              <w:ind w:firstLine="480"/>
              <w:jc w:val="both"/>
            </w:pPr>
            <w:r>
              <w:rPr>
                <w:rFonts w:ascii="仿宋_GB2312" w:hAnsi="仿宋_GB2312" w:cs="仿宋_GB2312" w:eastAsia="仿宋_GB2312"/>
                <w:sz w:val="24"/>
              </w:rPr>
              <w:t>⑦支持加密会议接入功能；</w:t>
            </w:r>
          </w:p>
          <w:p>
            <w:pPr>
              <w:pStyle w:val="null3"/>
              <w:ind w:firstLine="480"/>
              <w:jc w:val="both"/>
            </w:pPr>
            <w:r>
              <w:rPr>
                <w:rFonts w:ascii="仿宋_GB2312" w:hAnsi="仿宋_GB2312" w:cs="仿宋_GB2312" w:eastAsia="仿宋_GB2312"/>
                <w:sz w:val="24"/>
              </w:rPr>
              <w:t>⑧支持高清视频、支持画中画模式；支持免提、回声消除等功能。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3）软终端服务：</w:t>
            </w:r>
            <w:r>
              <w:rPr>
                <w:rFonts w:ascii="仿宋_GB2312" w:hAnsi="仿宋_GB2312" w:cs="仿宋_GB2312" w:eastAsia="仿宋_GB2312"/>
                <w:sz w:val="24"/>
              </w:rPr>
              <w:t>服务全省软终端会议接入，提供</w:t>
            </w:r>
            <w:r>
              <w:rPr>
                <w:rFonts w:ascii="仿宋_GB2312" w:hAnsi="仿宋_GB2312" w:cs="仿宋_GB2312" w:eastAsia="仿宋_GB2312"/>
                <w:sz w:val="24"/>
              </w:rPr>
              <w:t>150个视频会议软终端或APP服务，支持安装在手机、平板电脑、PC电脑等终端。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4）重要会议保障服务：在重要会议场景下，提供视频会议服务保障工作，全程监控会议网络稳定性与设备运行状态，及时响应并解决突发故障，确保会议流畅进行。</w:t>
            </w:r>
          </w:p>
          <w:p>
            <w:pPr>
              <w:pStyle w:val="null3"/>
              <w:ind w:firstLine="480"/>
              <w:jc w:val="both"/>
            </w:pPr>
            <w:r>
              <w:rPr>
                <w:rFonts w:ascii="仿宋_GB2312" w:hAnsi="仿宋_GB2312" w:cs="仿宋_GB2312" w:eastAsia="仿宋_GB2312"/>
                <w:sz w:val="24"/>
              </w:rPr>
              <w:t>（二）陕西省地质灾害应急指挥调度能力升级性能及可靠性要求</w:t>
            </w:r>
          </w:p>
          <w:p>
            <w:pPr>
              <w:pStyle w:val="null3"/>
              <w:ind w:firstLine="480"/>
              <w:jc w:val="both"/>
            </w:pPr>
            <w:r>
              <w:rPr>
                <w:rFonts w:ascii="仿宋_GB2312" w:hAnsi="仿宋_GB2312" w:cs="仿宋_GB2312" w:eastAsia="仿宋_GB2312"/>
                <w:sz w:val="24"/>
              </w:rPr>
              <w:t>1、并发用户数指标。系统平台运行于陕西省自然资源厅内网环境，能满足100个以上用户并发使用。</w:t>
            </w:r>
          </w:p>
          <w:p>
            <w:pPr>
              <w:pStyle w:val="null3"/>
              <w:ind w:firstLine="480"/>
              <w:jc w:val="both"/>
            </w:pPr>
            <w:r>
              <w:rPr>
                <w:rFonts w:ascii="仿宋_GB2312" w:hAnsi="仿宋_GB2312" w:cs="仿宋_GB2312" w:eastAsia="仿宋_GB2312"/>
                <w:sz w:val="24"/>
              </w:rPr>
              <w:t>2、系统响应速度指标。在最大并发访问情况下，系统数据查询平均响应时间小于2秒；在最大并发访问情况下，数据浏览单屏响应在2秒以内，在全省范围内数据查询平均响应时间不超过3秒。</w:t>
            </w:r>
          </w:p>
          <w:p>
            <w:pPr>
              <w:pStyle w:val="null3"/>
              <w:ind w:firstLine="480"/>
              <w:jc w:val="both"/>
            </w:pPr>
            <w:r>
              <w:rPr>
                <w:rFonts w:ascii="仿宋_GB2312" w:hAnsi="仿宋_GB2312" w:cs="仿宋_GB2312" w:eastAsia="仿宋_GB2312"/>
                <w:sz w:val="24"/>
              </w:rPr>
              <w:t>3、系统稳定性指标。要求系统性能稳定、可靠，7*24小时运行期间，系统的有效工作时间要求≥99.5%。</w:t>
            </w:r>
          </w:p>
          <w:p>
            <w:pPr>
              <w:pStyle w:val="null3"/>
              <w:ind w:firstLine="480"/>
              <w:jc w:val="both"/>
            </w:pPr>
            <w:r>
              <w:rPr>
                <w:rFonts w:ascii="仿宋_GB2312" w:hAnsi="仿宋_GB2312" w:cs="仿宋_GB2312" w:eastAsia="仿宋_GB2312"/>
                <w:sz w:val="24"/>
              </w:rPr>
              <w:t>4、系统平均故障间隔时间≥10000h；故障响应时间≤2h；平均故障恢复时间≤8h；现场服务响应时间≤24h。</w:t>
            </w:r>
          </w:p>
          <w:p>
            <w:pPr>
              <w:pStyle w:val="null3"/>
              <w:ind w:firstLine="480"/>
              <w:jc w:val="both"/>
            </w:pPr>
            <w:r>
              <w:rPr>
                <w:rFonts w:ascii="仿宋_GB2312" w:hAnsi="仿宋_GB2312" w:cs="仿宋_GB2312" w:eastAsia="仿宋_GB2312"/>
                <w:sz w:val="24"/>
              </w:rPr>
              <w:t>（三）陕西省地质灾害应急指挥调度能力升级系统安全相关要求</w:t>
            </w:r>
          </w:p>
          <w:p>
            <w:pPr>
              <w:pStyle w:val="null3"/>
              <w:ind w:firstLine="480"/>
              <w:jc w:val="both"/>
            </w:pPr>
            <w:r>
              <w:rPr>
                <w:rFonts w:ascii="仿宋_GB2312" w:hAnsi="仿宋_GB2312" w:cs="仿宋_GB2312" w:eastAsia="仿宋_GB2312"/>
                <w:sz w:val="24"/>
              </w:rPr>
              <w:t>1、系统开发必须符合国家和自然资源部系统安全相关管理规定。</w:t>
            </w:r>
          </w:p>
          <w:p>
            <w:pPr>
              <w:pStyle w:val="null3"/>
              <w:ind w:firstLine="480"/>
              <w:jc w:val="both"/>
            </w:pPr>
            <w:r>
              <w:rPr>
                <w:rFonts w:ascii="仿宋_GB2312" w:hAnsi="仿宋_GB2312" w:cs="仿宋_GB2312" w:eastAsia="仿宋_GB2312"/>
                <w:sz w:val="24"/>
              </w:rPr>
              <w:t>2、系统需要有严格的用户和使用权限要求。</w:t>
            </w:r>
          </w:p>
          <w:p>
            <w:pPr>
              <w:pStyle w:val="null3"/>
              <w:ind w:firstLine="480"/>
              <w:jc w:val="both"/>
            </w:pPr>
            <w:r>
              <w:rPr>
                <w:rFonts w:ascii="仿宋_GB2312" w:hAnsi="仿宋_GB2312" w:cs="仿宋_GB2312" w:eastAsia="仿宋_GB2312"/>
                <w:sz w:val="24"/>
              </w:rPr>
              <w:t>3、建立定期备份机制，系统应具备相应的备份与恢复功能，要求保持系统数据最新，并保证能够快速有效恢复数据。</w:t>
            </w:r>
          </w:p>
          <w:p>
            <w:pPr>
              <w:pStyle w:val="null3"/>
              <w:ind w:firstLine="480"/>
              <w:jc w:val="both"/>
            </w:pPr>
            <w:r>
              <w:rPr>
                <w:rFonts w:ascii="仿宋_GB2312" w:hAnsi="仿宋_GB2312" w:cs="仿宋_GB2312" w:eastAsia="仿宋_GB2312"/>
                <w:sz w:val="24"/>
              </w:rPr>
              <w:t>4、要求具备完备的日志功能。</w:t>
            </w:r>
          </w:p>
          <w:p>
            <w:pPr>
              <w:pStyle w:val="null3"/>
              <w:spacing w:before="240" w:after="240"/>
              <w:outlineLvl w:val="1"/>
            </w:pPr>
            <w:r>
              <w:rPr>
                <w:rFonts w:ascii="仿宋_GB2312" w:hAnsi="仿宋_GB2312" w:cs="仿宋_GB2312" w:eastAsia="仿宋_GB2312"/>
                <w:sz w:val="24"/>
                <w:b/>
              </w:rPr>
              <w:t>五、项目实施要求</w:t>
            </w:r>
          </w:p>
          <w:p>
            <w:pPr>
              <w:pStyle w:val="null3"/>
              <w:ind w:firstLine="480"/>
              <w:jc w:val="both"/>
            </w:pPr>
            <w:r>
              <w:rPr>
                <w:rFonts w:ascii="仿宋_GB2312" w:hAnsi="仿宋_GB2312" w:cs="仿宋_GB2312" w:eastAsia="仿宋_GB2312"/>
                <w:sz w:val="24"/>
              </w:rPr>
              <w:t>（一）工期要求</w:t>
            </w:r>
          </w:p>
          <w:p>
            <w:pPr>
              <w:pStyle w:val="null3"/>
              <w:ind w:firstLine="480"/>
              <w:jc w:val="both"/>
            </w:pPr>
            <w:r>
              <w:rPr>
                <w:rFonts w:ascii="仿宋_GB2312" w:hAnsi="仿宋_GB2312" w:cs="仿宋_GB2312" w:eastAsia="仿宋_GB2312"/>
                <w:sz w:val="24"/>
              </w:rPr>
              <w:t>要求中标单位在合同签订后</w:t>
            </w:r>
            <w:r>
              <w:rPr>
                <w:rFonts w:ascii="仿宋_GB2312" w:hAnsi="仿宋_GB2312" w:cs="仿宋_GB2312" w:eastAsia="仿宋_GB2312"/>
                <w:sz w:val="24"/>
              </w:rPr>
              <w:t>5个月内完成项目所有建设内容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（二）项目实施保障</w:t>
            </w:r>
          </w:p>
          <w:p>
            <w:pPr>
              <w:pStyle w:val="null3"/>
              <w:ind w:firstLine="480"/>
              <w:jc w:val="both"/>
            </w:pPr>
            <w:r>
              <w:rPr>
                <w:rFonts w:ascii="仿宋_GB2312" w:hAnsi="仿宋_GB2312" w:cs="仿宋_GB2312" w:eastAsia="仿宋_GB2312"/>
                <w:sz w:val="24"/>
              </w:rPr>
              <w:t>中标单位需为项目实施提供专业化、规范化、高品质的服务，针对项目团队组织、项目进度管理、实施过程、项目管理、质量保障等方面提出一套完整的实施方案。</w:t>
            </w:r>
          </w:p>
          <w:p>
            <w:pPr>
              <w:pStyle w:val="null3"/>
              <w:ind w:firstLine="480"/>
              <w:jc w:val="both"/>
            </w:pPr>
            <w:r>
              <w:rPr>
                <w:rFonts w:ascii="仿宋_GB2312" w:hAnsi="仿宋_GB2312" w:cs="仿宋_GB2312" w:eastAsia="仿宋_GB2312"/>
                <w:sz w:val="24"/>
              </w:rPr>
              <w:t>（三）项目验收要求</w:t>
            </w:r>
          </w:p>
          <w:p>
            <w:pPr>
              <w:pStyle w:val="null3"/>
              <w:ind w:firstLine="480"/>
              <w:jc w:val="both"/>
            </w:pPr>
            <w:r>
              <w:rPr>
                <w:rFonts w:ascii="仿宋_GB2312" w:hAnsi="仿宋_GB2312" w:cs="仿宋_GB2312" w:eastAsia="仿宋_GB2312"/>
                <w:sz w:val="24"/>
              </w:rPr>
              <w:t>1、在提交全部相关文档、代码等交付物的前提下，中标单位可以向采购方提出系统验收申请，进行</w:t>
            </w:r>
            <w:r>
              <w:rPr>
                <w:rFonts w:ascii="仿宋_GB2312" w:hAnsi="仿宋_GB2312" w:cs="仿宋_GB2312" w:eastAsia="仿宋_GB2312"/>
                <w:sz w:val="24"/>
              </w:rPr>
              <w:t>验收</w:t>
            </w:r>
            <w:r>
              <w:rPr>
                <w:rFonts w:ascii="仿宋_GB2312" w:hAnsi="仿宋_GB2312" w:cs="仿宋_GB2312" w:eastAsia="仿宋_GB2312"/>
                <w:sz w:val="24"/>
              </w:rPr>
              <w:t>，</w:t>
            </w:r>
            <w:r>
              <w:rPr>
                <w:rFonts w:ascii="仿宋_GB2312" w:hAnsi="仿宋_GB2312" w:cs="仿宋_GB2312" w:eastAsia="仿宋_GB2312"/>
                <w:sz w:val="24"/>
              </w:rPr>
              <w:t>验收</w:t>
            </w:r>
            <w:r>
              <w:rPr>
                <w:rFonts w:ascii="仿宋_GB2312" w:hAnsi="仿宋_GB2312" w:cs="仿宋_GB2312" w:eastAsia="仿宋_GB2312"/>
                <w:sz w:val="24"/>
              </w:rPr>
              <w:t>应由采购方邀请有关专家组织现场验收。</w:t>
            </w:r>
          </w:p>
          <w:p>
            <w:pPr>
              <w:pStyle w:val="null3"/>
              <w:ind w:firstLine="480"/>
              <w:jc w:val="both"/>
            </w:pPr>
            <w:r>
              <w:rPr>
                <w:rFonts w:ascii="仿宋_GB2312" w:hAnsi="仿宋_GB2312" w:cs="仿宋_GB2312" w:eastAsia="仿宋_GB2312"/>
                <w:sz w:val="24"/>
              </w:rPr>
              <w:t>2、项目成果提交需包括以下：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1）系统安装文件、源代码及详细说明文档；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2）项目实施过程中产生的各类文档，包括各类规范及标准化成果文档；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3）系统开发及项目实施等相关文档，包括但不限于项目实施计划</w:t>
            </w:r>
            <w:r>
              <w:rPr>
                <w:rFonts w:ascii="仿宋_GB2312" w:hAnsi="仿宋_GB2312" w:cs="仿宋_GB2312" w:eastAsia="仿宋_GB2312"/>
                <w:sz w:val="24"/>
              </w:rPr>
              <w:t>、项目设计、测试报告</w:t>
            </w:r>
            <w:r>
              <w:rPr>
                <w:rFonts w:ascii="仿宋_GB2312" w:hAnsi="仿宋_GB2312" w:cs="仿宋_GB2312" w:eastAsia="仿宋_GB2312"/>
                <w:sz w:val="24"/>
              </w:rPr>
              <w:t>、</w:t>
            </w:r>
            <w:r>
              <w:rPr>
                <w:rFonts w:ascii="仿宋_GB2312" w:hAnsi="仿宋_GB2312" w:cs="仿宋_GB2312" w:eastAsia="仿宋_GB2312"/>
                <w:sz w:val="24"/>
              </w:rPr>
              <w:t>用户</w:t>
            </w:r>
            <w:r>
              <w:rPr>
                <w:rFonts w:ascii="仿宋_GB2312" w:hAnsi="仿宋_GB2312" w:cs="仿宋_GB2312" w:eastAsia="仿宋_GB2312"/>
                <w:sz w:val="24"/>
              </w:rPr>
              <w:t>手册</w:t>
            </w:r>
            <w:r>
              <w:rPr>
                <w:rFonts w:ascii="仿宋_GB2312" w:hAnsi="仿宋_GB2312" w:cs="仿宋_GB2312" w:eastAsia="仿宋_GB2312"/>
                <w:sz w:val="24"/>
              </w:rPr>
              <w:t>、项目总结报告等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（四）保密工作要求</w:t>
            </w:r>
          </w:p>
          <w:p>
            <w:pPr>
              <w:pStyle w:val="null3"/>
              <w:ind w:firstLine="480"/>
              <w:jc w:val="both"/>
            </w:pPr>
            <w:r>
              <w:rPr>
                <w:rFonts w:ascii="仿宋_GB2312" w:hAnsi="仿宋_GB2312" w:cs="仿宋_GB2312" w:eastAsia="仿宋_GB2312"/>
                <w:sz w:val="24"/>
              </w:rPr>
              <w:t>中标单位应为本项目所配备的人员须与采购方签订由采购方制定的保密协议，并遵照执行。</w:t>
            </w:r>
          </w:p>
          <w:p>
            <w:pPr>
              <w:pStyle w:val="null3"/>
              <w:spacing w:before="240" w:after="240"/>
              <w:outlineLvl w:val="1"/>
            </w:pPr>
            <w:r>
              <w:rPr>
                <w:rFonts w:ascii="仿宋_GB2312" w:hAnsi="仿宋_GB2312" w:cs="仿宋_GB2312" w:eastAsia="仿宋_GB2312"/>
                <w:sz w:val="24"/>
                <w:b/>
              </w:rPr>
              <w:t>六、</w:t>
            </w:r>
            <w:r>
              <w:rPr>
                <w:rFonts w:ascii="仿宋_GB2312" w:hAnsi="仿宋_GB2312" w:cs="仿宋_GB2312" w:eastAsia="仿宋_GB2312"/>
                <w:sz w:val="24"/>
                <w:b/>
              </w:rPr>
              <w:t>售后</w:t>
            </w:r>
            <w:r>
              <w:rPr>
                <w:rFonts w:ascii="仿宋_GB2312" w:hAnsi="仿宋_GB2312" w:cs="仿宋_GB2312" w:eastAsia="仿宋_GB2312"/>
                <w:sz w:val="24"/>
                <w:b/>
              </w:rPr>
              <w:t>及培训要求</w:t>
            </w:r>
          </w:p>
          <w:p>
            <w:pPr>
              <w:pStyle w:val="null3"/>
              <w:ind w:firstLine="480"/>
              <w:jc w:val="both"/>
            </w:pPr>
            <w:r>
              <w:rPr>
                <w:rFonts w:ascii="仿宋_GB2312" w:hAnsi="仿宋_GB2312" w:cs="仿宋_GB2312" w:eastAsia="仿宋_GB2312"/>
                <w:sz w:val="24"/>
              </w:rPr>
              <w:t>（一）售后服务要求</w:t>
            </w:r>
          </w:p>
          <w:p>
            <w:pPr>
              <w:pStyle w:val="null3"/>
              <w:ind w:firstLine="480"/>
              <w:jc w:val="both"/>
            </w:pPr>
            <w:r>
              <w:rPr>
                <w:rFonts w:ascii="仿宋_GB2312" w:hAnsi="仿宋_GB2312" w:cs="仿宋_GB2312" w:eastAsia="仿宋_GB2312"/>
                <w:sz w:val="24"/>
              </w:rPr>
              <w:t>1、售后服务期限：一年。</w:t>
            </w:r>
          </w:p>
          <w:p>
            <w:pPr>
              <w:pStyle w:val="null3"/>
              <w:ind w:firstLine="480"/>
              <w:jc w:val="both"/>
            </w:pPr>
            <w:r>
              <w:rPr>
                <w:rFonts w:ascii="仿宋_GB2312" w:hAnsi="仿宋_GB2312" w:cs="仿宋_GB2312" w:eastAsia="仿宋_GB2312"/>
                <w:sz w:val="24"/>
              </w:rPr>
              <w:t>2、售后服务响应：在服务期内，对于影响平台正常运行的故障修复时间不超过12小时，重大问题应立即启动应急预案，保障平台正常使用，并尽快修复问题。</w:t>
            </w:r>
          </w:p>
          <w:p>
            <w:pPr>
              <w:pStyle w:val="null3"/>
              <w:ind w:firstLine="480"/>
              <w:jc w:val="both"/>
            </w:pPr>
            <w:r>
              <w:rPr>
                <w:rFonts w:ascii="仿宋_GB2312" w:hAnsi="仿宋_GB2312" w:cs="仿宋_GB2312" w:eastAsia="仿宋_GB2312"/>
                <w:sz w:val="24"/>
              </w:rPr>
              <w:t>3、售后服务人员：安排参与本项目实施、并对本项目熟悉的人员负责本项目的运维服务。</w:t>
            </w:r>
          </w:p>
          <w:p>
            <w:pPr>
              <w:pStyle w:val="null3"/>
              <w:ind w:firstLine="480"/>
              <w:jc w:val="both"/>
            </w:pPr>
            <w:r>
              <w:rPr>
                <w:rFonts w:ascii="仿宋_GB2312" w:hAnsi="仿宋_GB2312" w:cs="仿宋_GB2312" w:eastAsia="仿宋_GB2312"/>
                <w:sz w:val="24"/>
              </w:rPr>
              <w:t>（二）培训要求</w:t>
            </w:r>
          </w:p>
          <w:p>
            <w:pPr>
              <w:pStyle w:val="null3"/>
            </w:pPr>
            <w:r>
              <w:rPr>
                <w:rFonts w:ascii="仿宋_GB2312" w:hAnsi="仿宋_GB2312" w:cs="仿宋_GB2312" w:eastAsia="仿宋_GB2312"/>
                <w:sz w:val="24"/>
              </w:rPr>
              <w:t xml:space="preserve">    投标人需提供培训方案，培训方案中至少包含培训对象、培训方式、培训内容、培训计划等内容，要求面向系统开发和管理员、各级领导、系统操作人员等不同群体提供系统化、定制化和有针对性的培训。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配备满足项目需求的人员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配备满足项目需求的设施设备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5个月，供应商需完成所有招标文件要求工作，并通过项目验收。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1、在提交全部相关文档、代码等交付物的前提下，中标单位可以向采购方提出系统验收申请，进行验收，验收应由采购方邀请有关专家组织现场验收。 2、项目成果提交需包括以下： （1）系统安装文件、源代码及详细说明文档； （2）项目实施过程中产生的各类文档，包括各类规范及标准化成果文档； （3）系统开发及项目实施等相关文档，包括但不限于项目实施计划、项目设计、测试报告、用户手册、项目总结报告等。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合同签订后，乙方向甲方出具等额的符合国家规定的发票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完成项目建设内容并验收通过后，乙方向甲方出具等额的符合国家规定的发票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2）成交人未按合同要求 提供货物与服务或货物与服务质量不能满足采购要求，且在规定时间内未达到合同规定标准的，采购人有权终止合同，同时报 请监管部门对其违约行为进行追究。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1.提供合格有效的法人或其他组织的营业执照等证明文件， 自然人参与的提供其身份证原件。 2.提供2024年3月（含）至今已连续缴纳的至少一个月的纳税证明或完税证明； 依法免税的单位应提供相关证明材料；提供2024年3月(含）至今已连续缴存的至少一个月的社会保障资金缴存单据或社保机构开具的社会保险参保缴费情况证明，单据或证明上应有社保机构或代收机构的公章；依法不需要缴纳社会保障资金的供应商应提供相关文件证明。 3.参加本次政府采购活动前3年内在经营活动中没有重大违法记录，以及未被列入严重失信主体、重大税收违法失信主体、政府采购严重违法失信行为记录名单的书面声明。 4.磋商单位具有履行合同所需的设备和专业技术能力。（提供承诺函） 5.磋商单位具备法律、行政法规规定的其他条件。（提供承诺函）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提供经会计师事务所审计的2023年或2024年财务审计报告，或在开标日期前六个月内其基本开户银行出具的资信证明（附开户许可证或基本存款账户信息）。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投标文件（格式）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 网站（www.creditchina.gov.cn）严重失信主体和重大 税收违法失信主体的供应商，不得为中国政府采购网（www.ccgp.gov.cn）政府 采购严重违法失信行为记录名单中被财政部门禁止参加政府采购活动的的供应商。</w:t>
            </w:r>
          </w:p>
        </w:tc>
        <w:tc>
          <w:tcPr>
            <w:tcW w:type="dxa" w:w="1661"/>
          </w:tcPr>
          <w:p>
            <w:pPr>
              <w:pStyle w:val="null3"/>
            </w:pPr>
            <w:r>
              <w:rPr>
                <w:rFonts w:ascii="仿宋_GB2312" w:hAnsi="仿宋_GB2312" w:cs="仿宋_GB2312" w:eastAsia="仿宋_GB2312"/>
              </w:rPr>
              <w:t>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投标文件（格式）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投标文件（格式）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满足本磋商文件中的实质性条款（服务期限、服务地点、支付方式、支付约定）要求的</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投标文件（格式）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 投标文件（格式）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报价未超过磋商文件中规定的预算金额的</w:t>
            </w:r>
          </w:p>
        </w:tc>
        <w:tc>
          <w:tcPr>
            <w:tcW w:type="dxa" w:w="1661"/>
          </w:tcPr>
          <w:p>
            <w:pPr>
              <w:pStyle w:val="null3"/>
            </w:pPr>
            <w:r>
              <w:rPr>
                <w:rFonts w:ascii="仿宋_GB2312" w:hAnsi="仿宋_GB2312" w:cs="仿宋_GB2312" w:eastAsia="仿宋_GB2312"/>
              </w:rPr>
              <w:t>标的清单 报价表 投标文件（格式）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投标文件（格式）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接受联合体投标，联合体参加投标的，应满足下列要求：联合体成员数量不得超过2家，联合体牵头单位代表联合体各方办理本项目投标活动过程中的一切事务。牵头单位和其法定代表人或其委托代理人的印章或签字代表联合体各成员单位相应的印章或签字。联合体各方不得再以自己的名义单独或参加其他联合体在本项目的投标，否则投标响应将被拒绝。以上证明资料涉及到联合体的，须同时提供联合体牵头人及联合体成员资料（联合体单位参加投标的，证明资料中“法定代表人身份证明或法定代表人授权书”仅须由牵头单位出具）</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投标文件（格式）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项目重难点分析及解决策略</w:t>
            </w:r>
          </w:p>
        </w:tc>
        <w:tc>
          <w:tcPr>
            <w:tcW w:type="dxa" w:w="2492"/>
          </w:tcPr>
          <w:p>
            <w:pPr>
              <w:pStyle w:val="null3"/>
            </w:pPr>
            <w:r>
              <w:rPr>
                <w:rFonts w:ascii="仿宋_GB2312" w:hAnsi="仿宋_GB2312" w:cs="仿宋_GB2312" w:eastAsia="仿宋_GB2312"/>
              </w:rPr>
              <w:t>供应商围绕本项目特点提出项目建设的重点、难点，明确项目建设的总体要求，工作原则和解决策略。 A.描述全面完整，重点及难点把握准确，分析到位，解决措施科学完善、切实可行，得5分； B.描述较为全面，重点及难点把握较为准确，分析基本合理，解决措施合理可行，得4分； C.描述基本全面，重点及难点把握基本准确，分析简单，解决措施基本合理可行，得3分； D.描述简单，重点及难点把握有偏差，分析欠缺，得2分； E. 内容简单笼统，缺少可行性，得1分； F.其他或未提供不得分。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视频会议系统技术指标</w:t>
            </w:r>
          </w:p>
        </w:tc>
        <w:tc>
          <w:tcPr>
            <w:tcW w:type="dxa" w:w="2492"/>
          </w:tcPr>
          <w:p>
            <w:pPr>
              <w:pStyle w:val="null3"/>
            </w:pPr>
            <w:r>
              <w:rPr>
                <w:rFonts w:ascii="仿宋_GB2312" w:hAnsi="仿宋_GB2312" w:cs="仿宋_GB2312" w:eastAsia="仿宋_GB2312"/>
              </w:rPr>
              <w:t>根据供应商所投视频会议系统技术指标是否符合采购需求指标进行评审，基础分值为8分，每有1项负偏离扣0.5分，扣完为止。 所有技术指标均需提供证明材料： 1. 设备类技术指标需提供证明材料（包括但不限于产品规格表、产品宣传彩页、技术白皮书、制造商官方网站发布的产品信息、检测机构出具的检测报告、生产厂家的承诺书等作为证明材料）。 2. 服务类指标要求需提供供应商的承诺书等作为证明材料。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应急指挥调度能力升级技术方案</w:t>
            </w:r>
          </w:p>
        </w:tc>
        <w:tc>
          <w:tcPr>
            <w:tcW w:type="dxa" w:w="2492"/>
          </w:tcPr>
          <w:p>
            <w:pPr>
              <w:pStyle w:val="null3"/>
            </w:pPr>
            <w:r>
              <w:rPr>
                <w:rFonts w:ascii="仿宋_GB2312" w:hAnsi="仿宋_GB2312" w:cs="仿宋_GB2312" w:eastAsia="仿宋_GB2312"/>
              </w:rPr>
              <w:t>要求对采购人服务需求的理解，各供应商有具体、完整的技术方案、主要技术措施等。 A.技术方案及主要技术措施完善、明确；技术方案内容全面，可行性和针对性强，得15分； B.技术方案及主要技术措施较为明确；技术方案基本满足要求，可行性和针对性较强，得12分； C.技术方案及主要技术措施基本清晰；技术方案常规，有一定的可行性和针对性，得8分； D.技术方案及主要技术措施内容欠缺；技术方案简单笼统，缺乏针对性，得4分； E.技术方案及主要技术措施内容合理性较差，技术方案可行性较低，得2分； F.其他或未提供不得分。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视频会议系统服务实施方案</w:t>
            </w:r>
          </w:p>
        </w:tc>
        <w:tc>
          <w:tcPr>
            <w:tcW w:type="dxa" w:w="2492"/>
          </w:tcPr>
          <w:p>
            <w:pPr>
              <w:pStyle w:val="null3"/>
            </w:pPr>
            <w:r>
              <w:rPr>
                <w:rFonts w:ascii="仿宋_GB2312" w:hAnsi="仿宋_GB2312" w:cs="仿宋_GB2312" w:eastAsia="仿宋_GB2312"/>
              </w:rPr>
              <w:t>要求对采购人服务需求的理解，各供应商有具体、完整的实施方案及主要技术措施。A.实施方案及措施详尽，合理可行，逻辑清楚，针对性及可行性强，得10分;B.实施方案及措施较完善，有一定的逻辑性、针对性、可行性，得8分;C.实施方案及措施内容基本合理，基本可行得6分;D.实施方案及措施内容简单笼统，方案针对性一般得4分;E.实施方案及措施内容缺失、方案针对性较差得2分;F.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供应商应针采购需求指定相应管理制度及措施（包含但不限于质量措施、安全措施等）。 A.方案详细完整、合理可行，进度调配得当，控制措施紧密有效，针对性强，得8分； B.方案内容齐全、基本可行，控制措施有一定针对性，得6分； C.方案内容简单笼统，控制措施针对性一般，得4分； D.方案内容缺失、方案针对性较差得2分； E.其他或未提供不得分。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提供具有针对性的进度保障方案，包含但不限于工作时间进度计划、工作程序和步骤等。 1、方案详细完整、合理可行，进度调配得当，控制措施紧密有效，针对性强，得4分； 2、方案内容齐全、基本可行，控制措施有一定针对性，得3分； 3、方案内容简单笼统，控制措施针对性一般，得2分； 4、方案内容缺失、方案针对性较差得1分； 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针对可能出现的问题及突发事件，有具体可行的应急措施和解决方案，内容包括但不限于迁移措施、应急措施、服务承诺等。 A.内容详细完整、合理可行，进度调配得当，控制措施紧密有效，针对性强，得4分； B.内容齐全、基本可行，控制措施有一定针对性，得3分； C.内容简单笼统，控制措施针对性一般，得2分； D.方案内容缺失、方案针对性较差得1分； E.其他或未提供不得分。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供应商根据采购需求，提供项目培训方案，包括但不限于培训组织架构、培训内容、培训方式、培训流程及日程安排。 1、培训方案完善合理，针对性强，确保相关人员能够熟练掌握产品操作、排除一般故障，得3分； 2、培训方案基本合理，完善程度一般、控制措施针对性一般，得2分； 3、培训方案简单笼统，针对性欠缺，得1分； 其他或未提供不得分。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保密工作方案</w:t>
            </w:r>
          </w:p>
        </w:tc>
        <w:tc>
          <w:tcPr>
            <w:tcW w:type="dxa" w:w="2492"/>
          </w:tcPr>
          <w:p>
            <w:pPr>
              <w:pStyle w:val="null3"/>
            </w:pPr>
            <w:r>
              <w:rPr>
                <w:rFonts w:ascii="仿宋_GB2312" w:hAnsi="仿宋_GB2312" w:cs="仿宋_GB2312" w:eastAsia="仿宋_GB2312"/>
              </w:rPr>
              <w:t>供应商应针对信息安全有具体可行的保密工作方案，确保系统、数据安全，并提供承诺函及相应的管理制度级措施。 1、方案详细完整、合理可行，进度调配得当，控制措施紧密有效，针对性强，得2分； 2、方案内容简单笼统，控制措施针对性一般，得1分； 其他或未提供不得分。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供应商具有完善的售后服务体系，并有详细的售后服务措施及承诺，能够保证 7*24h 不间断运行（包含但不限于：服务组织、服务机构和人员、服务方式、售后服务响应时间等） A.服务承诺及措施详尽，合理可行，逻辑清楚，针对性及可行性强，得5分； B.服务承诺及措施较完善，有一定的逻辑性、针对性、可行性，得4分； C.服务承诺及措施内容基本合理，基本可行得3分； D.服务承诺及措施内容简单笼统，方案针对性一般得2分； E.服务承诺及措施内容缺失、方案针对性较差得1分； F.其他或未提供不得分。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1、供应商提供质量管理体系认证、环境管理体系认证、职业健康安全体系认证证书，以上3项，每提供1项得1分，最高得3分。 2、供应商提供ITSS信息技术服务标准符合性证书的得2分，否则不得分。 3、供应商提供信息系统建设和服务能力认证（CS）的得2分，否则不得分。 注：联合体投标时各方提供的证书均可作为评审依据</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依据投标文件所提供的项目团队进行评分： 1、配备1名项目负责人，具备正高级工程师职称得2分，不满足不得分。 2、项目组成员(项目负责人除外)达到6人的，得1分；每多提供2人，得 0.5分，本项最高得3分。 3、项目组成员(项目负责人除外)具有信息系统项目管理师证书，得2分；具有系统集成项目管理工程师证书的，得1分；具有高级工程师职称的，10人及以上得3分，10人以下5人及以上得2分，4至1人得1分，不具备不得分。 注:以身份证、毕业证、职称证或注册证、社保机构出具的2024年至今任意1个月社保证明等文件为准，未按要求提供不得分。 联合体投标时各方提供的证书均可作为评审依据</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供应商提供2022年1月1日至今同类项目业绩（以合同签订日期为准），每提供1个得2分，最高得8分。 备注：响应文件中提供合同复印件加盖公章。 注：联合体投标时各方提供的证书均可作为评审依据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审查合格的响应文件，其磋商报价为有效磋商报价。并对有效磋商报价进行政策性扣减，并依据扣减后的价格（评审价格）进行价格评审；有效最低评审价格得10分；其他供应商的价格分统一按照下列公式计算：价格分=(最低评审价格／磋商报价)×10 计算分数时保留小数点后两位。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投标文件（格式） 报价表 响应函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投标文件（格式） 响应函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详见附件：17-合同文本.docx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