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版本号：SCZA2025-CS-0932-001R20250529001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职工餐厅改扩建(二次)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SCZA2025-CS-0932-001R</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职工餐厅改扩建(二次)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SCZA2025-CS-0932-001R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职工餐厅改扩建(二次)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改造面积约为300平米，主要包括装修装饰改造，增设多联机空调通排风系统，配套改造强弱电及消防等内容，配合油烟净化系统及给排水隔油池等设施的安装。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采购包1（职工餐厅改扩建项目）：属于专门面向中小企业采购。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1、项目经理资质：拟派项目经理具备建筑工程专业二级及以上注册建造师资格和安全生产考核合格证且未担任其他在施建设工程项目的项目经理（提供承诺书），且在本单位注册；</w:t>
      </w:r>
    </w:p>
    <w:p>
      <w:pPr>
        <w:pStyle w:val="null3"/>
      </w:pPr>
      <w:r>
        <w:rPr>
          <w:rFonts w:ascii="仿宋_GB2312" w:hAnsi="仿宋_GB2312" w:cs="仿宋_GB2312" w:eastAsia="仿宋_GB2312"/>
        </w:rPr>
        <w:t>2、企业资质：供应商具有建设行政主管部门颁发的建筑装修装饰工程专业承包二级(含二级)及以上或建筑工程施工总承包叁级以上(含叁级)资质，且具备有效的安全生产许可证；</w:t>
      </w:r>
    </w:p>
    <w:p>
      <w:pPr>
        <w:pStyle w:val="null3"/>
      </w:pPr>
      <w:r>
        <w:rPr>
          <w:rFonts w:ascii="仿宋_GB2312" w:hAnsi="仿宋_GB2312" w:cs="仿宋_GB2312" w:eastAsia="仿宋_GB2312"/>
        </w:rPr>
        <w:t>3、其他要求：供应商基本信息及项目经理（注册建造师）人员基本信息应在“陕西建设网（http://js.shaanxi.gov.cn/）陕西省建筑市场监管与诚信信息发布平台可查询；</w:t>
      </w:r>
    </w:p>
    <w:p>
      <w:pPr>
        <w:pStyle w:val="null3"/>
      </w:pPr>
      <w:r>
        <w:rPr>
          <w:rFonts w:ascii="仿宋_GB2312" w:hAnsi="仿宋_GB2312" w:cs="仿宋_GB2312" w:eastAsia="仿宋_GB2312"/>
        </w:rPr>
        <w:t>4、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5、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西安市高新区都市之门C座9层招标一部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银行账号：102461183235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代理服务费收费标准：1.按照国家计委颁布的《招标代理服务收费管理暂行办法》(计价格[2002]1980号)文件规定的标准下浮20%计取，招标代理服务收费按差额定率累进法计算。2.成交单位的代理服务费交纳信息 银行户名：陕西省采购招标有限责任公司 开户银行：中国光大银行西安友谊路支行 账号：78560188000095264 联系人：张婕 联系电话：029-85263975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949,810.18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职工餐厅改扩建</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标的名称：职工餐厅改扩建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92"/>
              <w:gridCol w:w="246"/>
              <w:gridCol w:w="598"/>
              <w:gridCol w:w="1418"/>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参数性质</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技术要求名称</w:t>
                  </w:r>
                </w:p>
              </w:tc>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技术参数与性能指标</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项目概况</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按照医院</w:t>
                  </w:r>
                  <w:r>
                    <w:rPr>
                      <w:rFonts w:ascii="仿宋_GB2312" w:hAnsi="仿宋_GB2312" w:cs="仿宋_GB2312" w:eastAsia="仿宋_GB2312"/>
                      <w:sz w:val="20"/>
                    </w:rPr>
                    <w:t>“三个年”工作计划，为打造提升职工幸福感的“暖心工程”，计划将原商业街小吃城改造为职工餐厅，主营面点及小吃等。</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施工范围及承包方式</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改造面积约为</w:t>
                  </w:r>
                  <w:r>
                    <w:rPr>
                      <w:rFonts w:ascii="仿宋_GB2312" w:hAnsi="仿宋_GB2312" w:cs="仿宋_GB2312" w:eastAsia="仿宋_GB2312"/>
                      <w:sz w:val="20"/>
                    </w:rPr>
                    <w:t>300平米，主要包括装修装饰改造，增设多联机空调通排风系统，配套改造强弱电及消防等内容，配合油烟净化系统及给排水隔油池等设施的安装。</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工期要求</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30天</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工程质量</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合格</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验收与结算</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本合同价款采用固定综合单价方式，工程据实结算，最终以审计为准。</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付款方式</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工程竣工验收合格后开具符合税法规定的全额发票，支付工程审定金额的</w:t>
                  </w:r>
                  <w:r>
                    <w:rPr>
                      <w:rFonts w:ascii="仿宋_GB2312" w:hAnsi="仿宋_GB2312" w:cs="仿宋_GB2312" w:eastAsia="仿宋_GB2312"/>
                      <w:sz w:val="20"/>
                    </w:rPr>
                    <w:t>97%，剩余3%待缺陷责任期满</w:t>
                  </w:r>
                  <w:r>
                    <w:rPr>
                      <w:rFonts w:ascii="仿宋_GB2312" w:hAnsi="仿宋_GB2312" w:cs="仿宋_GB2312" w:eastAsia="仿宋_GB2312"/>
                      <w:sz w:val="20"/>
                    </w:rPr>
                    <w:t>后一次性无息支付。</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缺陷责任期</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两年</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其他要求</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施工期间，成交供应商必须注意人员安全，加强安全措施，对施工人员进行安全教育，并健全安全管理制度和加强教育培训。施工人员必须持证上岗。要求成交供应商在施工中做到封闭性施工。承诺明确安全责任，承诺文明施工，承诺自觉遵守采购人的管理规定。</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主材品牌要求</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1）灯具：三雄极光、雷士、欧普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2）电线：津成、金川、安普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3）开关插座：ABB、施耐德、西门子</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4）电缆：江苏远东、江苏上上、宝胜电缆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5）多联机空调：大金、格力、海尔</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6）阀门：中核苏阀、上海科科、中亚阀门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7）陶瓷地面砖：马可波罗、东鹏、诺贝尔</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8）水泥：海螺水泥、南方水泥、华润水泥</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9）轻钢龙骨：龙牌、青钢、秦长城</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10）铝扣板：友邦吊顶、奥普、美尔凯特</w:t>
                  </w:r>
                </w:p>
                <w:p>
                  <w:pPr>
                    <w:pStyle w:val="null3"/>
                    <w:jc w:val="left"/>
                  </w:pPr>
                  <w:r>
                    <w:rPr>
                      <w:rFonts w:ascii="仿宋_GB2312" w:hAnsi="仿宋_GB2312" w:cs="仿宋_GB2312" w:eastAsia="仿宋_GB2312"/>
                      <w:sz w:val="20"/>
                    </w:rPr>
                    <w:t>(11)净砂：东方雨虹、中国建材、海螺水泥</w:t>
                  </w:r>
                </w:p>
                <w:p>
                  <w:pPr>
                    <w:pStyle w:val="null3"/>
                    <w:jc w:val="left"/>
                  </w:pPr>
                  <w:r>
                    <w:rPr>
                      <w:rFonts w:ascii="仿宋_GB2312" w:hAnsi="仿宋_GB2312" w:cs="仿宋_GB2312" w:eastAsia="仿宋_GB2312"/>
                      <w:sz w:val="20"/>
                    </w:rPr>
                    <w:t>(12)加气混凝土砌块：优博络客、金隅杭加、旭建新材</w:t>
                  </w:r>
                </w:p>
                <w:p>
                  <w:pPr>
                    <w:pStyle w:val="null3"/>
                    <w:jc w:val="left"/>
                  </w:pPr>
                  <w:r>
                    <w:rPr>
                      <w:rFonts w:ascii="仿宋_GB2312" w:hAnsi="仿宋_GB2312" w:cs="仿宋_GB2312" w:eastAsia="仿宋_GB2312"/>
                      <w:sz w:val="20"/>
                    </w:rPr>
                    <w:t>(13)花岗岩板：环球石材、溪石</w:t>
                  </w:r>
                </w:p>
                <w:p>
                  <w:pPr>
                    <w:pStyle w:val="null3"/>
                    <w:jc w:val="left"/>
                  </w:pPr>
                  <w:r>
                    <w:rPr>
                      <w:rFonts w:ascii="仿宋_GB2312" w:hAnsi="仿宋_GB2312" w:cs="仿宋_GB2312" w:eastAsia="仿宋_GB2312"/>
                      <w:sz w:val="20"/>
                    </w:rPr>
                    <w:t>(14)铝单板：蓝天七色、方大新材料、强徽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15）面砖：威尔斯陶瓷、大角鹿瓷砖、顺辉瓷砖</w:t>
                  </w:r>
                </w:p>
                <w:p>
                  <w:pPr>
                    <w:pStyle w:val="null3"/>
                    <w:jc w:val="left"/>
                  </w:pPr>
                  <w:r>
                    <w:rPr>
                      <w:rFonts w:ascii="仿宋_GB2312" w:hAnsi="仿宋_GB2312" w:cs="仿宋_GB2312" w:eastAsia="仿宋_GB2312"/>
                      <w:sz w:val="20"/>
                    </w:rPr>
                    <w:t>(16）成品铁艺博古架:盾慧、森博瑞、深语</w:t>
                  </w:r>
                </w:p>
                <w:p>
                  <w:pPr>
                    <w:pStyle w:val="null3"/>
                    <w:jc w:val="left"/>
                  </w:pPr>
                  <w:r>
                    <w:rPr>
                      <w:rFonts w:ascii="仿宋_GB2312" w:hAnsi="仿宋_GB2312" w:cs="仿宋_GB2312" w:eastAsia="仿宋_GB2312"/>
                      <w:sz w:val="20"/>
                    </w:rPr>
                    <w:t>(17)铝方通：友邦吊顶、乐思龙、金霸建材</w:t>
                  </w:r>
                </w:p>
                <w:p>
                  <w:pPr>
                    <w:pStyle w:val="null3"/>
                    <w:jc w:val="both"/>
                  </w:pPr>
                  <w:r>
                    <w:rPr>
                      <w:rFonts w:ascii="仿宋_GB2312" w:hAnsi="仿宋_GB2312" w:cs="仿宋_GB2312" w:eastAsia="仿宋_GB2312"/>
                      <w:sz w:val="20"/>
                    </w:rPr>
                    <w:t>备注：以上材料及品牌仅供参考，供应商需提供上述主要设备材料要求的同等质量品牌的产品，且需与现有系统兼容</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最高限价</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本项目最高限价为：</w:t>
                  </w:r>
                  <w:r>
                    <w:rPr>
                      <w:rFonts w:ascii="仿宋_GB2312" w:hAnsi="仿宋_GB2312" w:cs="仿宋_GB2312" w:eastAsia="仿宋_GB2312"/>
                      <w:sz w:val="20"/>
                    </w:rPr>
                    <w:t>949810.18</w:t>
                  </w:r>
                  <w:r>
                    <w:rPr>
                      <w:rFonts w:ascii="仿宋_GB2312" w:hAnsi="仿宋_GB2312" w:cs="仿宋_GB2312" w:eastAsia="仿宋_GB2312"/>
                      <w:sz w:val="20"/>
                    </w:rPr>
                    <w:t>元（其中包含暂列金额：</w:t>
                  </w:r>
                  <w:r>
                    <w:rPr>
                      <w:rFonts w:ascii="仿宋_GB2312" w:hAnsi="仿宋_GB2312" w:cs="仿宋_GB2312" w:eastAsia="仿宋_GB2312"/>
                      <w:sz w:val="20"/>
                    </w:rPr>
                    <w:t>100000.00</w:t>
                  </w:r>
                  <w:r>
                    <w:rPr>
                      <w:rFonts w:ascii="仿宋_GB2312" w:hAnsi="仿宋_GB2312" w:cs="仿宋_GB2312" w:eastAsia="仿宋_GB2312"/>
                      <w:sz w:val="20"/>
                    </w:rPr>
                    <w:t>元。</w:t>
                  </w:r>
                  <w:r>
                    <w:rPr>
                      <w:rFonts w:ascii="仿宋_GB2312" w:hAnsi="仿宋_GB2312" w:cs="仿宋_GB2312" w:eastAsia="仿宋_GB2312"/>
                      <w:sz w:val="20"/>
                    </w:rPr>
                    <w:t>）</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合格（达到国家强制性合格标准）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1.图纸详见附件 2.供应商需要在线提交所有通过电子化交易平台实施的政府采购项目的磋商响应文件，同时，线下提交响应文件正本壹份、副本壹份、电子版壹套（U盘一套标明投标人名称，随正本密封，电子版内容：电子投标书(已标价工程量清单SXTB格式)、GBQ格式。）。若电子响应文件与纸质响应文件不一致的，以线上提交的电子响应文件为准。线下提交响应文件截止时间：同线上递交截止时间（北京时间）线下提交响应文件地点：西安市高新区都市之门C座9层评标二室；联系电话：029-85266644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拟派项目经理具备建筑工程专业二级及以上注册建造师资格和安全生产考核合格证且未担任其他在施建设工程项目的项目经理（提供承诺书），且在本单位注册；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供应商具有建设行政主管部门颁发的建筑装修装饰工程专业承包二级(含二级)及以上或建筑工程施工总承包叁级以上(含叁级)资质，且具备有效的安全生产许可证；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供应商基本信息及项目经理（注册建造师）人员基本信息应在“陕西建设网（http://js.shaanxi.gov.cn/）陕西省建筑市场监管与诚信信息发布平台可查询；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法定代表人证明书及授权书.docx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拟派项目技术负责人职称、业绩表.docx 强制优先采购产品承诺函 应急预案.docx 标的清单 确保文明施工的技术组织措施.docx 供应商类似项目业绩一览表 拟派项目部人员安排计划表.docx 主要人员简历表 监狱企业的证明文件 确保造价控制措施的技术组织措施.docx 已标价工程量清单 中小企业声明函 职工餐厅改扩建施工方案.docx 技术服务合同条款及其他商务要求应答表 供应商应提交的相关资格证明材料 拟投入的主要材料品牌表.docx 确保施工安全的技术组织措施.docx 响应文件封面 确保工程质量的技术组织措施.docx 项目管理机构组成表 残疾人福利性单位声明函 报价函 施工总平面布置图、施工网络图.docx 响应函 施工机械设备配备.docx 拟派项目经理职称、业绩表.docx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供应商磋商报价没有超出采购预算或最高限价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磋商保证金已按采购文件规定提交且金额、形式符合采购文件要求</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工程量清单不存在漏项或数量与要求不符合采购文件规定情形，响应内容满足采购文件的商务、技术等实质性要求，不存在采购档次降低或影响采购性能、功能的情形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拟派项目技术负责人职称、业绩表.docx 职工餐厅改扩建施工方案.docx 技术服务合同条款及其他商务要求应答表 供应商应提交的相关资格证明材料 拟投入的主要材料品牌表.docx 强制优先采购产品承诺函 确保施工安全的技术组织措施.docx 确保工程质量的技术组织措施.docx 应急预案.docx 项目管理机构组成表 标的清单 确保文明施工的技术组织措施.docx 供应商类似项目业绩一览表 施工总平面布置图、施工网络图.docx 施工机械设备配备.docx 拟派项目部人员安排计划表.docx 拟派项目经理职称、业绩表.docx 主要人员简历表 确保造价控制措施的技术组织措施.docx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拟派项目技术负责人职称、业绩表.docx 职工餐厅改扩建施工方案.docx 技术服务合同条款及其他商务要求应答表 供应商应提交的相关资格证明材料 拟投入的主要材料品牌表.docx 强制优先采购产品承诺函 确保施工安全的技术组织措施.docx 确保工程质量的技术组织措施.docx 应急预案.docx 项目管理机构组成表 标的清单 确保文明施工的技术组织措施.docx 供应商类似项目业绩一览表 施工总平面布置图、施工网络图.docx 施工机械设备配备.docx 拟派项目部人员安排计划表.docx 拟派项目经理职称、业绩表.docx 主要人员简历表 确保造价控制措施的技术组织措施.docx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拟派项目技术负责人职称、业绩表.docx 职工餐厅改扩建施工方案.docx 技术服务合同条款及其他商务要求应答表 供应商应提交的相关资格证明材料 拟投入的主要材料品牌表.docx 强制优先采购产品承诺函 确保施工安全的技术组织措施.docx 确保工程质量的技术组织措施.docx 应急预案.docx 项目管理机构组成表 标的清单 确保文明施工的技术组织措施.docx 供应商类似项目业绩一览表 施工总平面布置图、施工网络图.docx 施工机械设备配备.docx 拟派项目部人员安排计划表.docx 拟派项目经理职称、业绩表.docx 主要人员简历表 确保造价控制措施的技术组织措施.docx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拟派项目技术负责人职称、业绩表.docx 职工餐厅改扩建施工方案.docx 技术服务合同条款及其他商务要求应答表 供应商应提交的相关资格证明材料 拟投入的主要材料品牌表.docx 强制优先采购产品承诺函 确保施工安全的技术组织措施.docx 确保工程质量的技术组织措施.docx 应急预案.docx 项目管理机构组成表 确保文明施工的技术组织措施.docx 供应商类似项目业绩一览表 施工总平面布置图、施工网络图.docx 施工机械设备配备.docx 拟派项目部人员安排计划表.docx 拟派项目经理职称、业绩表.docx 主要人员简历表 确保造价控制措施的技术组织措施.docx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供应商提供自2021年1月1日至今的类似业绩证明材料，每提供1个业绩得1分，最多得5分。 评审依据：供应商须在响应文件中附合同的扫描件或复印件并加盖单位公章，业绩时间以合同签订时间所体现的时间为准，须体现合同关键页且签字盖章齐全，合同中出现非连续页或模糊不清无法辨认的视为无效合同或未提供的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拟派项目经理职称</w:t>
            </w:r>
          </w:p>
        </w:tc>
        <w:tc>
          <w:tcPr>
            <w:tcW w:type="dxa" w:w="2492"/>
          </w:tcPr>
          <w:p>
            <w:pPr>
              <w:pStyle w:val="null3"/>
            </w:pPr>
            <w:r>
              <w:rPr>
                <w:rFonts w:ascii="仿宋_GB2312" w:hAnsi="仿宋_GB2312" w:cs="仿宋_GB2312" w:eastAsia="仿宋_GB2312"/>
              </w:rPr>
              <w:t>拟派项目经理具备高级及以上职称证书的得3分，中级职称证书的得2分，初级职称的得1分，其余情况不得分。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拟派项目经理职称、业绩表.docx</w:t>
            </w:r>
          </w:p>
        </w:tc>
      </w:tr>
      <w:tr>
        <w:tc>
          <w:tcPr>
            <w:tcW w:type="dxa" w:w="831"/>
            <w:vMerge/>
          </w:tcPr>
          <w:p/>
        </w:tc>
        <w:tc>
          <w:tcPr>
            <w:tcW w:type="dxa" w:w="1661"/>
          </w:tcPr>
          <w:p>
            <w:pPr>
              <w:pStyle w:val="null3"/>
            </w:pPr>
            <w:r>
              <w:rPr>
                <w:rFonts w:ascii="仿宋_GB2312" w:hAnsi="仿宋_GB2312" w:cs="仿宋_GB2312" w:eastAsia="仿宋_GB2312"/>
              </w:rPr>
              <w:t>拟派项目经理业绩</w:t>
            </w:r>
          </w:p>
        </w:tc>
        <w:tc>
          <w:tcPr>
            <w:tcW w:type="dxa" w:w="2492"/>
          </w:tcPr>
          <w:p>
            <w:pPr>
              <w:pStyle w:val="null3"/>
            </w:pPr>
            <w:r>
              <w:rPr>
                <w:rFonts w:ascii="仿宋_GB2312" w:hAnsi="仿宋_GB2312" w:cs="仿宋_GB2312" w:eastAsia="仿宋_GB2312"/>
              </w:rPr>
              <w:t>供应商提供拟派项目经理自2021年1月1日至今承接的类似业绩证明材料，每提供1项得1分，最多得3分。评审依据：业绩证明材料以供应商提供的加盖供应商公章的合同复印件或扫描件为准（合同中须体现关键页且签字盖章齐全，且合同中须体现拟派项目经理的相关信息；如合同中出现非连续页或模糊不清无法辨认或未按照上述要求提供不全的或未提供的均不得分）。时间以合同签订时间为准。拟派项目经理业绩与企业业绩可重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拟派项目经理职称、业绩表.docx</w:t>
            </w:r>
          </w:p>
        </w:tc>
      </w:tr>
      <w:tr>
        <w:tc>
          <w:tcPr>
            <w:tcW w:type="dxa" w:w="831"/>
            <w:vMerge/>
          </w:tcPr>
          <w:p/>
        </w:tc>
        <w:tc>
          <w:tcPr>
            <w:tcW w:type="dxa" w:w="1661"/>
          </w:tcPr>
          <w:p>
            <w:pPr>
              <w:pStyle w:val="null3"/>
            </w:pPr>
            <w:r>
              <w:rPr>
                <w:rFonts w:ascii="仿宋_GB2312" w:hAnsi="仿宋_GB2312" w:cs="仿宋_GB2312" w:eastAsia="仿宋_GB2312"/>
              </w:rPr>
              <w:t>拟派项目技术负责人职称</w:t>
            </w:r>
          </w:p>
        </w:tc>
        <w:tc>
          <w:tcPr>
            <w:tcW w:type="dxa" w:w="2492"/>
          </w:tcPr>
          <w:p>
            <w:pPr>
              <w:pStyle w:val="null3"/>
            </w:pPr>
            <w:r>
              <w:rPr>
                <w:rFonts w:ascii="仿宋_GB2312" w:hAnsi="仿宋_GB2312" w:cs="仿宋_GB2312" w:eastAsia="仿宋_GB2312"/>
              </w:rPr>
              <w:t>拟派项目技术负责人具备高级及以上职称证书的得3分，中级职称证书的得2分，初级职称的得1分，其余情况不得分。评审依据：评审时以供应商提供的加盖供应商公章的拟派项目技术负责人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拟派项目技术负责人职称、业绩表.docx</w:t>
            </w:r>
          </w:p>
        </w:tc>
      </w:tr>
      <w:tr>
        <w:tc>
          <w:tcPr>
            <w:tcW w:type="dxa" w:w="831"/>
            <w:vMerge/>
          </w:tcPr>
          <w:p/>
        </w:tc>
        <w:tc>
          <w:tcPr>
            <w:tcW w:type="dxa" w:w="1661"/>
          </w:tcPr>
          <w:p>
            <w:pPr>
              <w:pStyle w:val="null3"/>
            </w:pPr>
            <w:r>
              <w:rPr>
                <w:rFonts w:ascii="仿宋_GB2312" w:hAnsi="仿宋_GB2312" w:cs="仿宋_GB2312" w:eastAsia="仿宋_GB2312"/>
              </w:rPr>
              <w:t>拟派项目技术负责人业绩</w:t>
            </w:r>
          </w:p>
        </w:tc>
        <w:tc>
          <w:tcPr>
            <w:tcW w:type="dxa" w:w="2492"/>
          </w:tcPr>
          <w:p>
            <w:pPr>
              <w:pStyle w:val="null3"/>
            </w:pPr>
            <w:r>
              <w:rPr>
                <w:rFonts w:ascii="仿宋_GB2312" w:hAnsi="仿宋_GB2312" w:cs="仿宋_GB2312" w:eastAsia="仿宋_GB2312"/>
              </w:rPr>
              <w:t>供应商提供拟派技术负责人自2021年1月1日至今承接的类似业绩证明材料，每提供1项得1分，最多得3分。评审依据：业绩证明材料以供应商提供的加盖供应商公章的合同复印件或扫描件为准（合同中须体现关键页且签字盖章齐全，且合同中须体现拟派项目技术负责人的相关信息；如合同中无法体现拟派项目技术负责人的相关信息，则需要出具供应商单位自行出具的任职证明材料配套与合同一并证明。如合同中出现非连续页或模糊不清无法辨认或未按照上述要求提供不全的或未提供的均不得分）。时间以合同签订时间为准。拟派技术负责人业绩与企业业绩可重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拟派项目技术负责人职称、业绩表.docx</w:t>
            </w:r>
          </w:p>
        </w:tc>
      </w:tr>
      <w:tr>
        <w:tc>
          <w:tcPr>
            <w:tcW w:type="dxa" w:w="831"/>
            <w:vMerge/>
          </w:tcPr>
          <w:p/>
        </w:tc>
        <w:tc>
          <w:tcPr>
            <w:tcW w:type="dxa" w:w="1661"/>
          </w:tcPr>
          <w:p>
            <w:pPr>
              <w:pStyle w:val="null3"/>
            </w:pPr>
            <w:r>
              <w:rPr>
                <w:rFonts w:ascii="仿宋_GB2312" w:hAnsi="仿宋_GB2312" w:cs="仿宋_GB2312" w:eastAsia="仿宋_GB2312"/>
              </w:rPr>
              <w:t>拟派项目部人员</w:t>
            </w:r>
          </w:p>
        </w:tc>
        <w:tc>
          <w:tcPr>
            <w:tcW w:type="dxa" w:w="2492"/>
          </w:tcPr>
          <w:p>
            <w:pPr>
              <w:pStyle w:val="null3"/>
            </w:pPr>
            <w:r>
              <w:rPr>
                <w:rFonts w:ascii="仿宋_GB2312" w:hAnsi="仿宋_GB2312" w:cs="仿宋_GB2312" w:eastAsia="仿宋_GB2312"/>
              </w:rPr>
              <w:t>根据供应商人提供的拟派项目部人员的职称、注册执业资格、拟任岗位等基本情况，对拟派项目部人员数量、专业搭配及人员资质及经验情况赋分,人员岗位配备齐全、科学合理，得4分；人员团队配备基本科学合理得2分； 人员配备不完善，分工不合理，证件缺少较多得1分；未提供的得0分。 未提供相关内容不得分。评审依据：评审时以供应商提供的加盖供应商公章的拟派项目部人员相关职业证书、学历证、身份证等证件的扫描件或复印件为准。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拟派项目部人员安排计划表.docx</w:t>
            </w:r>
          </w:p>
        </w:tc>
      </w:tr>
      <w:tr>
        <w:tc>
          <w:tcPr>
            <w:tcW w:type="dxa" w:w="831"/>
            <w:vMerge/>
          </w:tcPr>
          <w:p/>
        </w:tc>
        <w:tc>
          <w:tcPr>
            <w:tcW w:type="dxa" w:w="1661"/>
          </w:tcPr>
          <w:p>
            <w:pPr>
              <w:pStyle w:val="null3"/>
            </w:pPr>
            <w:r>
              <w:rPr>
                <w:rFonts w:ascii="仿宋_GB2312" w:hAnsi="仿宋_GB2312" w:cs="仿宋_GB2312" w:eastAsia="仿宋_GB2312"/>
              </w:rPr>
              <w:t>拟投入本项目的主要材料</w:t>
            </w:r>
          </w:p>
        </w:tc>
        <w:tc>
          <w:tcPr>
            <w:tcW w:type="dxa" w:w="2492"/>
          </w:tcPr>
          <w:p>
            <w:pPr>
              <w:pStyle w:val="null3"/>
            </w:pPr>
            <w:r>
              <w:rPr>
                <w:rFonts w:ascii="仿宋_GB2312" w:hAnsi="仿宋_GB2312" w:cs="仿宋_GB2312" w:eastAsia="仿宋_GB2312"/>
              </w:rPr>
              <w:t>根据供应商针对本项目拟投入主要材料产品选型合理、环保、为市场主流产品，满足磋商文件要求、本项目实际要求、国家及行业相关质量规定，附相关证明材料进行评审：拟投的主要材料清单科学、合理完整，实用性强，完整性强，完全满足本项目需求的得4分；拟投的主要材料清单基本合理，实用性较强，完整性较强，基本满足本项目需求的2分；拟投的主要材料清单不合理，无完整性，不满足本项目需求的1分；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拟投入的主要材料品牌表.docx</w:t>
            </w:r>
          </w:p>
        </w:tc>
      </w:tr>
      <w:tr>
        <w:tc>
          <w:tcPr>
            <w:tcW w:type="dxa" w:w="831"/>
            <w:vMerge/>
          </w:tcP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根据供应商针对本项目特点制定确保文明施工的技术组织措施：方案科学合理、安全可行，完全满足项目要求的得4分；方案有一定的可行性，基本能满足项目要求的得2分；方案有较多欠缺的，无法保证使用的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确保文明施工的技术组织措施.docx</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根据供应商针对本项目制定确保工程质量的技术组织措施进行评审：组织措施科学合理、合理性及针对性强，完全满足项目要求的得4分；组织措施稍有欠缺，有一定的可行性，但能够满足项目需求的得2分；组织措施有较多欠缺的，无法保证项目实施的得1分。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确保工程质量的技术组织措施.docx</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根据供应商针对本项目制定确保施工安全的技术组织措施进行评审：组织措施科学合理、合理性及针对性强，完全满足项目要求的得4分；组织措施稍有欠缺，有一定的可行性，但能够满足项目需求的得2分；组织措施有较多欠缺的，无法保证项目实施的得1分。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确保施工安全的技术组织措施.docx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根据供应商针对本项目制定造价控制措施的技术组织措施进行评审： 组织措施科学合理、合理性及针对性强，完全满足项目要求的得4分；组织措施稍有欠缺，有一定的可行性，但能够满足项目需求的得2分；组织措施有较多欠缺的，无法保证项目实施的得1分。未提供的得0分。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确保造价控制措施的技术组织措施.docx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根据供应商针对本项目制定关于职工餐厅改扩建专项施工方案措施进行评审：组织措施科学合理、合理性及针对性强，完全满足项目要求的得4分；组织措施稍有欠缺，有一定的可行性，但能够满足项目需求的得2分；组织措施有较多欠缺的，无法保证项目实施的得1分。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职工餐厅改扩建施工方案.docx</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根据供应商针对本项目制定应急预案措施进行评审：应急预案科学合理、合理性及针对性强，完全满足项目要求的得4分；应急预案稍有欠缺，有一定的可行性，但能够满足项目需求的得2分；应急预案有较多欠缺，不能满足项目需求的得1分；未提供组织措施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施工组织设计7</w:t>
            </w:r>
          </w:p>
        </w:tc>
        <w:tc>
          <w:tcPr>
            <w:tcW w:type="dxa" w:w="2492"/>
          </w:tcPr>
          <w:p>
            <w:pPr>
              <w:pStyle w:val="null3"/>
            </w:pPr>
            <w:r>
              <w:rPr>
                <w:rFonts w:ascii="仿宋_GB2312" w:hAnsi="仿宋_GB2312" w:cs="仿宋_GB2312" w:eastAsia="仿宋_GB2312"/>
              </w:rPr>
              <w:t>根据供应商针对本项目制定的施工机械设备配备投入计划进行评审：计划科学合理、合理性及针对性强，完全满足项目要求的得3分；计划稍有欠缺，有一定的可行性，能够满足项目需求的得2分；计划缺失严重，无法保证项目实施的得1分；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施工机械设备配备.docx</w:t>
            </w:r>
          </w:p>
        </w:tc>
      </w:tr>
      <w:tr>
        <w:tc>
          <w:tcPr>
            <w:tcW w:type="dxa" w:w="831"/>
            <w:vMerge/>
          </w:tcPr>
          <w:p/>
        </w:tc>
        <w:tc>
          <w:tcPr>
            <w:tcW w:type="dxa" w:w="1661"/>
          </w:tcPr>
          <w:p>
            <w:pPr>
              <w:pStyle w:val="null3"/>
            </w:pPr>
            <w:r>
              <w:rPr>
                <w:rFonts w:ascii="仿宋_GB2312" w:hAnsi="仿宋_GB2312" w:cs="仿宋_GB2312" w:eastAsia="仿宋_GB2312"/>
              </w:rPr>
              <w:t>施工组织设计8</w:t>
            </w:r>
          </w:p>
        </w:tc>
        <w:tc>
          <w:tcPr>
            <w:tcW w:type="dxa" w:w="2492"/>
          </w:tcPr>
          <w:p>
            <w:pPr>
              <w:pStyle w:val="null3"/>
            </w:pPr>
            <w:r>
              <w:rPr>
                <w:rFonts w:ascii="仿宋_GB2312" w:hAnsi="仿宋_GB2312" w:cs="仿宋_GB2312" w:eastAsia="仿宋_GB2312"/>
              </w:rPr>
              <w:t>根据供应商针对本项目制定的施工网络图、横道图或工期进度表进行评审：施工网络图、横道图或工期进度表科学合理、合理性及针对性强，完全满足项目要求的得3分；施工网络图、横道图或工期进度表稍有欠缺，有一定的可行性，但能够满足项目需求的得2分；施工网络图、横道图或工期进度表缺项、漏项，表述混乱且无法保证项目实施的得1分；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施工总平面布置图、施工网络图.docx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磋商报价采用低价优先法计算，即满足竞争性磋商文件要求且最终磋商报价最低的报价为评审基准价，其价格分为满分。其他供应商的价格分统一按照下列公式计算： 磋商报价得分=（评审基准价/最终磋商报价）×45</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详见附件：施工机械设备配备.docx</w:t>
      </w:r>
    </w:p>
    <w:p>
      <w:pPr>
        <w:pStyle w:val="null3"/>
        <w:ind w:firstLine="960"/>
      </w:pPr>
      <w:r>
        <w:rPr>
          <w:rFonts w:ascii="仿宋_GB2312" w:hAnsi="仿宋_GB2312" w:cs="仿宋_GB2312" w:eastAsia="仿宋_GB2312"/>
        </w:rPr>
        <w:t>详见附件：拟派项目部人员安排计划表.docx</w:t>
      </w:r>
    </w:p>
    <w:p>
      <w:pPr>
        <w:pStyle w:val="null3"/>
        <w:ind w:firstLine="960"/>
      </w:pPr>
      <w:r>
        <w:rPr>
          <w:rFonts w:ascii="仿宋_GB2312" w:hAnsi="仿宋_GB2312" w:cs="仿宋_GB2312" w:eastAsia="仿宋_GB2312"/>
        </w:rPr>
        <w:t>详见附件：拟派项目技术负责人职称、业绩表.docx</w:t>
      </w:r>
    </w:p>
    <w:p>
      <w:pPr>
        <w:pStyle w:val="null3"/>
        <w:ind w:firstLine="960"/>
      </w:pPr>
      <w:r>
        <w:rPr>
          <w:rFonts w:ascii="仿宋_GB2312" w:hAnsi="仿宋_GB2312" w:cs="仿宋_GB2312" w:eastAsia="仿宋_GB2312"/>
        </w:rPr>
        <w:t>详见附件：拟派项目经理职称、业绩表.docx</w:t>
      </w:r>
    </w:p>
    <w:p>
      <w:pPr>
        <w:pStyle w:val="null3"/>
        <w:ind w:firstLine="960"/>
      </w:pPr>
      <w:r>
        <w:rPr>
          <w:rFonts w:ascii="仿宋_GB2312" w:hAnsi="仿宋_GB2312" w:cs="仿宋_GB2312" w:eastAsia="仿宋_GB2312"/>
        </w:rPr>
        <w:t>详见附件：拟投入的主要材料品牌表.docx</w:t>
      </w:r>
    </w:p>
    <w:p>
      <w:pPr>
        <w:pStyle w:val="null3"/>
        <w:ind w:firstLine="960"/>
      </w:pPr>
      <w:r>
        <w:rPr>
          <w:rFonts w:ascii="仿宋_GB2312" w:hAnsi="仿宋_GB2312" w:cs="仿宋_GB2312" w:eastAsia="仿宋_GB2312"/>
        </w:rPr>
        <w:t>详见附件：确保工程质量的技术组织措施.docx</w:t>
      </w:r>
    </w:p>
    <w:p>
      <w:pPr>
        <w:pStyle w:val="null3"/>
        <w:ind w:firstLine="960"/>
      </w:pPr>
      <w:r>
        <w:rPr>
          <w:rFonts w:ascii="仿宋_GB2312" w:hAnsi="仿宋_GB2312" w:cs="仿宋_GB2312" w:eastAsia="仿宋_GB2312"/>
        </w:rPr>
        <w:t>详见附件：确保施工安全的技术组织措施.docx</w:t>
      </w:r>
    </w:p>
    <w:p>
      <w:pPr>
        <w:pStyle w:val="null3"/>
        <w:ind w:firstLine="960"/>
      </w:pPr>
      <w:r>
        <w:rPr>
          <w:rFonts w:ascii="仿宋_GB2312" w:hAnsi="仿宋_GB2312" w:cs="仿宋_GB2312" w:eastAsia="仿宋_GB2312"/>
        </w:rPr>
        <w:t>详见附件：施工总平面布置图、施工网络图.docx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详见附件：确保造价控制措施的技术组织措施.docx</w:t>
      </w:r>
    </w:p>
    <w:p>
      <w:pPr>
        <w:pStyle w:val="null3"/>
        <w:ind w:firstLine="960"/>
      </w:pPr>
      <w:r>
        <w:rPr>
          <w:rFonts w:ascii="仿宋_GB2312" w:hAnsi="仿宋_GB2312" w:cs="仿宋_GB2312" w:eastAsia="仿宋_GB2312"/>
        </w:rPr>
        <w:t>详见附件：确保文明施工的技术组织措施.docx</w:t>
      </w:r>
    </w:p>
    <w:p>
      <w:pPr>
        <w:pStyle w:val="null3"/>
        <w:ind w:firstLine="960"/>
      </w:pPr>
      <w:r>
        <w:rPr>
          <w:rFonts w:ascii="仿宋_GB2312" w:hAnsi="仿宋_GB2312" w:cs="仿宋_GB2312" w:eastAsia="仿宋_GB2312"/>
        </w:rPr>
        <w:t>详见附件：职工餐厅改扩建施工方案.docx</w:t>
      </w:r>
    </w:p>
    <w:p>
      <w:pPr>
        <w:pStyle w:val="null3"/>
        <w:ind w:firstLine="960"/>
      </w:pPr>
      <w:r>
        <w:rPr>
          <w:rFonts w:ascii="仿宋_GB2312" w:hAnsi="仿宋_GB2312" w:cs="仿宋_GB2312" w:eastAsia="仿宋_GB2312"/>
        </w:rPr>
        <w:t>详见附件：法定代表人证明书及授权书.docx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