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20D05A">
      <w:pPr>
        <w:pStyle w:val="9"/>
        <w:jc w:val="center"/>
        <w:rPr>
          <w:rFonts w:hint="eastAsia" w:ascii="仿宋_GB2312" w:hAnsi="仿宋_GB2312" w:eastAsia="仿宋_GB2312" w:cs="仿宋_GB2312"/>
          <w:b/>
          <w:sz w:val="44"/>
          <w:szCs w:val="28"/>
          <w:lang w:eastAsia="zh-CN"/>
        </w:rPr>
      </w:pPr>
      <w:r>
        <w:rPr>
          <w:rFonts w:hint="eastAsia" w:ascii="仿宋_GB2312" w:hAnsi="仿宋_GB2312" w:eastAsia="仿宋_GB2312" w:cs="仿宋_GB2312"/>
          <w:b/>
          <w:sz w:val="44"/>
          <w:szCs w:val="28"/>
          <w:lang w:eastAsia="zh-CN"/>
        </w:rPr>
        <w:t>2025年全省应急管理信息系统</w:t>
      </w:r>
    </w:p>
    <w:p w14:paraId="5863F15E">
      <w:pPr>
        <w:pStyle w:val="9"/>
        <w:jc w:val="center"/>
        <w:rPr>
          <w:rFonts w:hint="eastAsia" w:ascii="仿宋_GB2312" w:hAnsi="仿宋_GB2312" w:eastAsia="仿宋_GB2312" w:cs="仿宋_GB2312"/>
          <w:b/>
          <w:sz w:val="44"/>
          <w:szCs w:val="28"/>
          <w:lang w:eastAsia="zh-CN"/>
        </w:rPr>
      </w:pPr>
      <w:r>
        <w:rPr>
          <w:rFonts w:hint="eastAsia" w:ascii="仿宋_GB2312" w:hAnsi="仿宋_GB2312" w:eastAsia="仿宋_GB2312" w:cs="仿宋_GB2312"/>
          <w:b/>
          <w:sz w:val="44"/>
          <w:szCs w:val="28"/>
          <w:lang w:eastAsia="zh-CN"/>
        </w:rPr>
        <w:t>统一运维服务项目</w:t>
      </w:r>
    </w:p>
    <w:p w14:paraId="32C6676D">
      <w:pPr>
        <w:pStyle w:val="9"/>
        <w:jc w:val="center"/>
        <w:rPr>
          <w:rFonts w:hint="eastAsia" w:ascii="仿宋_GB2312" w:hAnsi="仿宋_GB2312" w:eastAsia="仿宋_GB2312" w:cs="仿宋_GB2312"/>
          <w:b/>
          <w:sz w:val="28"/>
          <w:lang w:eastAsia="zh-CN"/>
        </w:rPr>
      </w:pPr>
    </w:p>
    <w:p w14:paraId="08B3C8A0">
      <w:pPr>
        <w:pStyle w:val="9"/>
        <w:jc w:val="center"/>
        <w:rPr>
          <w:rFonts w:hint="eastAsia" w:ascii="仿宋_GB2312" w:hAnsi="仿宋_GB2312" w:eastAsia="仿宋_GB2312" w:cs="仿宋_GB2312"/>
          <w:b/>
          <w:sz w:val="56"/>
          <w:szCs w:val="40"/>
          <w:lang w:val="en-US" w:eastAsia="zh-CN"/>
        </w:rPr>
      </w:pPr>
    </w:p>
    <w:p w14:paraId="1E740C19">
      <w:pPr>
        <w:pStyle w:val="9"/>
        <w:jc w:val="center"/>
        <w:rPr>
          <w:rFonts w:hint="eastAsia" w:ascii="仿宋_GB2312" w:hAnsi="仿宋_GB2312" w:eastAsia="仿宋_GB2312" w:cs="仿宋_GB2312"/>
          <w:b/>
          <w:sz w:val="56"/>
          <w:szCs w:val="40"/>
          <w:lang w:val="en-US" w:eastAsia="zh-CN"/>
        </w:rPr>
      </w:pPr>
    </w:p>
    <w:p w14:paraId="33578918">
      <w:pPr>
        <w:pStyle w:val="9"/>
        <w:jc w:val="center"/>
        <w:rPr>
          <w:rFonts w:hint="eastAsia" w:ascii="仿宋_GB2312" w:hAnsi="仿宋_GB2312" w:eastAsia="仿宋_GB2312" w:cs="仿宋_GB2312"/>
          <w:b/>
          <w:sz w:val="56"/>
          <w:szCs w:val="40"/>
          <w:lang w:val="en-US" w:eastAsia="zh-CN"/>
        </w:rPr>
      </w:pPr>
    </w:p>
    <w:p w14:paraId="16DCEFB3">
      <w:pPr>
        <w:pStyle w:val="9"/>
        <w:jc w:val="center"/>
        <w:rPr>
          <w:rFonts w:hint="eastAsia" w:ascii="仿宋_GB2312" w:hAnsi="仿宋_GB2312" w:eastAsia="仿宋_GB2312" w:cs="仿宋_GB2312"/>
          <w:b/>
          <w:sz w:val="56"/>
          <w:szCs w:val="40"/>
          <w:lang w:val="en-US" w:eastAsia="zh-CN"/>
        </w:rPr>
      </w:pPr>
      <w:r>
        <w:rPr>
          <w:rFonts w:hint="eastAsia" w:ascii="仿宋_GB2312" w:hAnsi="仿宋_GB2312" w:eastAsia="仿宋_GB2312" w:cs="仿宋_GB2312"/>
          <w:b/>
          <w:sz w:val="56"/>
          <w:szCs w:val="40"/>
          <w:lang w:val="en-US" w:eastAsia="zh-CN"/>
        </w:rPr>
        <w:t>服务合同</w:t>
      </w:r>
    </w:p>
    <w:p w14:paraId="6A99933F">
      <w:pPr>
        <w:pStyle w:val="9"/>
        <w:jc w:val="center"/>
        <w:rPr>
          <w:rFonts w:hint="eastAsia" w:ascii="仿宋_GB2312" w:hAnsi="仿宋_GB2312" w:eastAsia="仿宋_GB2312" w:cs="仿宋_GB2312"/>
          <w:b/>
          <w:sz w:val="56"/>
          <w:szCs w:val="40"/>
          <w:lang w:val="en-US" w:eastAsia="zh-CN"/>
        </w:rPr>
      </w:pPr>
    </w:p>
    <w:p w14:paraId="3C197878">
      <w:pPr>
        <w:pStyle w:val="9"/>
        <w:jc w:val="center"/>
        <w:rPr>
          <w:rFonts w:hint="eastAsia" w:ascii="仿宋_GB2312" w:hAnsi="仿宋_GB2312" w:eastAsia="仿宋_GB2312" w:cs="仿宋_GB2312"/>
          <w:b/>
          <w:sz w:val="56"/>
          <w:szCs w:val="40"/>
          <w:lang w:val="en-US" w:eastAsia="zh-CN"/>
        </w:rPr>
      </w:pPr>
    </w:p>
    <w:p w14:paraId="76AEED96">
      <w:pPr>
        <w:pStyle w:val="9"/>
        <w:jc w:val="center"/>
        <w:rPr>
          <w:rFonts w:hint="eastAsia" w:ascii="仿宋_GB2312" w:hAnsi="仿宋_GB2312" w:eastAsia="仿宋_GB2312" w:cs="仿宋_GB2312"/>
          <w:b/>
          <w:sz w:val="56"/>
          <w:szCs w:val="40"/>
          <w:lang w:val="en-US" w:eastAsia="zh-CN"/>
        </w:rPr>
      </w:pPr>
    </w:p>
    <w:p w14:paraId="408C680C">
      <w:pPr>
        <w:pStyle w:val="9"/>
        <w:ind w:firstLine="723" w:firstLineChars="200"/>
        <w:jc w:val="both"/>
        <w:rPr>
          <w:rFonts w:hint="default" w:ascii="仿宋_GB2312" w:hAnsi="仿宋_GB2312" w:eastAsia="仿宋_GB2312" w:cs="仿宋_GB2312"/>
          <w:b/>
          <w:sz w:val="56"/>
          <w:szCs w:val="40"/>
          <w:u w:val="single"/>
          <w:lang w:val="en-US" w:eastAsia="zh-CN"/>
        </w:rPr>
      </w:pPr>
      <w:r>
        <w:rPr>
          <w:rFonts w:hint="eastAsia" w:ascii="仿宋_GB2312" w:hAnsi="仿宋_GB2312" w:eastAsia="仿宋_GB2312" w:cs="仿宋_GB2312"/>
          <w:b/>
          <w:sz w:val="36"/>
          <w:szCs w:val="22"/>
          <w:lang w:val="en-US" w:eastAsia="zh-CN"/>
        </w:rPr>
        <w:t>委托方（甲方）：</w:t>
      </w:r>
      <w:r>
        <w:rPr>
          <w:rFonts w:hint="eastAsia" w:ascii="仿宋_GB2312" w:hAnsi="仿宋_GB2312" w:eastAsia="仿宋_GB2312" w:cs="仿宋_GB2312"/>
          <w:b/>
          <w:sz w:val="36"/>
          <w:szCs w:val="22"/>
          <w:u w:val="single"/>
          <w:lang w:val="en-US" w:eastAsia="zh-CN"/>
        </w:rPr>
        <w:t xml:space="preserve">                   </w:t>
      </w:r>
    </w:p>
    <w:p w14:paraId="6D2B0B0E">
      <w:pPr>
        <w:pStyle w:val="9"/>
        <w:ind w:firstLine="723" w:firstLineChars="200"/>
        <w:jc w:val="both"/>
        <w:rPr>
          <w:rFonts w:hint="eastAsia" w:ascii="仿宋_GB2312" w:hAnsi="仿宋_GB2312" w:eastAsia="仿宋_GB2312" w:cs="仿宋_GB2312"/>
          <w:b/>
          <w:sz w:val="36"/>
          <w:szCs w:val="22"/>
          <w:u w:val="single"/>
          <w:lang w:val="en-US" w:eastAsia="zh-CN"/>
        </w:rPr>
      </w:pPr>
      <w:r>
        <w:rPr>
          <w:rFonts w:hint="eastAsia" w:ascii="仿宋_GB2312" w:hAnsi="仿宋_GB2312" w:eastAsia="仿宋_GB2312" w:cs="仿宋_GB2312"/>
          <w:b/>
          <w:sz w:val="36"/>
          <w:szCs w:val="22"/>
          <w:lang w:val="en-US" w:eastAsia="zh-CN"/>
        </w:rPr>
        <w:t>受托方（乙方）：</w:t>
      </w:r>
      <w:r>
        <w:rPr>
          <w:rFonts w:hint="eastAsia" w:ascii="仿宋_GB2312" w:hAnsi="仿宋_GB2312" w:eastAsia="仿宋_GB2312" w:cs="仿宋_GB2312"/>
          <w:b/>
          <w:sz w:val="36"/>
          <w:szCs w:val="22"/>
          <w:u w:val="single"/>
          <w:lang w:val="en-US" w:eastAsia="zh-CN"/>
        </w:rPr>
        <w:t xml:space="preserve">                   </w:t>
      </w:r>
    </w:p>
    <w:p w14:paraId="118A37B1">
      <w:pPr>
        <w:pStyle w:val="9"/>
        <w:ind w:firstLine="723" w:firstLineChars="200"/>
        <w:jc w:val="both"/>
        <w:rPr>
          <w:rFonts w:hint="eastAsia" w:ascii="仿宋_GB2312" w:hAnsi="仿宋_GB2312" w:eastAsia="仿宋_GB2312" w:cs="仿宋_GB2312"/>
          <w:b/>
          <w:sz w:val="36"/>
          <w:szCs w:val="22"/>
          <w:u w:val="single"/>
          <w:lang w:val="en-US" w:eastAsia="zh-CN"/>
        </w:rPr>
      </w:pPr>
      <w:r>
        <w:rPr>
          <w:rFonts w:hint="eastAsia" w:ascii="仿宋_GB2312" w:hAnsi="仿宋_GB2312" w:eastAsia="仿宋_GB2312" w:cs="仿宋_GB2312"/>
          <w:b/>
          <w:sz w:val="36"/>
          <w:szCs w:val="22"/>
          <w:u w:val="none"/>
          <w:lang w:val="en-US" w:eastAsia="zh-CN"/>
        </w:rPr>
        <w:t>签  订  地  点：</w:t>
      </w:r>
      <w:r>
        <w:rPr>
          <w:rFonts w:hint="eastAsia" w:ascii="仿宋_GB2312" w:hAnsi="仿宋_GB2312" w:eastAsia="仿宋_GB2312" w:cs="仿宋_GB2312"/>
          <w:b/>
          <w:sz w:val="36"/>
          <w:szCs w:val="22"/>
          <w:u w:val="single"/>
          <w:lang w:val="en-US" w:eastAsia="zh-CN"/>
        </w:rPr>
        <w:t xml:space="preserve">                   </w:t>
      </w:r>
    </w:p>
    <w:p w14:paraId="73DF7176">
      <w:pPr>
        <w:pStyle w:val="9"/>
        <w:ind w:firstLine="723" w:firstLineChars="200"/>
        <w:jc w:val="both"/>
        <w:rPr>
          <w:rFonts w:hint="eastAsia" w:ascii="仿宋_GB2312" w:hAnsi="仿宋_GB2312" w:eastAsia="仿宋_GB2312" w:cs="仿宋_GB2312"/>
          <w:b/>
          <w:sz w:val="36"/>
          <w:szCs w:val="22"/>
          <w:u w:val="single"/>
          <w:lang w:val="en-US" w:eastAsia="zh-CN"/>
        </w:rPr>
      </w:pPr>
      <w:r>
        <w:rPr>
          <w:rFonts w:hint="eastAsia" w:ascii="仿宋_GB2312" w:hAnsi="仿宋_GB2312" w:eastAsia="仿宋_GB2312" w:cs="仿宋_GB2312"/>
          <w:b/>
          <w:sz w:val="36"/>
          <w:szCs w:val="22"/>
          <w:u w:val="none"/>
          <w:lang w:val="en-US" w:eastAsia="zh-CN"/>
        </w:rPr>
        <w:t>签  订  时  间：</w:t>
      </w:r>
      <w:r>
        <w:rPr>
          <w:rFonts w:hint="eastAsia" w:ascii="仿宋_GB2312" w:hAnsi="仿宋_GB2312" w:eastAsia="仿宋_GB2312" w:cs="仿宋_GB2312"/>
          <w:b/>
          <w:sz w:val="36"/>
          <w:szCs w:val="22"/>
          <w:u w:val="single"/>
          <w:lang w:val="en-US" w:eastAsia="zh-CN"/>
        </w:rPr>
        <w:t xml:space="preserve">                   </w:t>
      </w:r>
    </w:p>
    <w:p w14:paraId="1DA7729E">
      <w:pPr>
        <w:pStyle w:val="9"/>
        <w:jc w:val="both"/>
        <w:rPr>
          <w:rFonts w:hint="default" w:ascii="仿宋_GB2312" w:hAnsi="仿宋_GB2312" w:eastAsia="仿宋_GB2312" w:cs="仿宋_GB2312"/>
          <w:b/>
          <w:sz w:val="36"/>
          <w:szCs w:val="22"/>
          <w:u w:val="single"/>
          <w:lang w:val="en-US" w:eastAsia="zh-CN"/>
        </w:rPr>
      </w:pPr>
    </w:p>
    <w:p w14:paraId="4EAB54FD">
      <w:pPr>
        <w:pStyle w:val="9"/>
        <w:jc w:val="both"/>
        <w:rPr>
          <w:rFonts w:hint="eastAsia" w:ascii="仿宋_GB2312" w:hAnsi="仿宋_GB2312" w:eastAsia="仿宋_GB2312" w:cs="仿宋_GB2312"/>
          <w:b/>
          <w:sz w:val="32"/>
          <w:szCs w:val="21"/>
          <w:lang w:eastAsia="zh-CN"/>
        </w:rPr>
      </w:pPr>
    </w:p>
    <w:p w14:paraId="23E575F6">
      <w:pPr>
        <w:rPr>
          <w:rFonts w:hint="eastAsia" w:ascii="仿宋_GB2312" w:hAnsi="仿宋_GB2312" w:eastAsia="仿宋_GB2312" w:cs="仿宋_GB2312"/>
          <w:b/>
          <w:sz w:val="36"/>
          <w:szCs w:val="22"/>
          <w:lang w:eastAsia="zh-CN"/>
        </w:rPr>
      </w:pPr>
      <w:r>
        <w:rPr>
          <w:rFonts w:hint="eastAsia" w:ascii="仿宋_GB2312" w:hAnsi="仿宋_GB2312" w:eastAsia="仿宋_GB2312" w:cs="仿宋_GB2312"/>
          <w:b/>
          <w:sz w:val="36"/>
          <w:szCs w:val="22"/>
          <w:lang w:eastAsia="zh-CN"/>
        </w:rPr>
        <w:br w:type="page"/>
      </w:r>
    </w:p>
    <w:p w14:paraId="4D6BA3DB">
      <w:pPr>
        <w:pStyle w:val="9"/>
        <w:keepNext w:val="0"/>
        <w:keepLines w:val="0"/>
        <w:pageBreakBefore w:val="0"/>
        <w:widowControl/>
        <w:kinsoku/>
        <w:wordWrap/>
        <w:overflowPunct/>
        <w:topLinePunct w:val="0"/>
        <w:autoSpaceDE/>
        <w:autoSpaceDN/>
        <w:bidi w:val="0"/>
        <w:adjustRightInd/>
        <w:snapToGrid/>
        <w:spacing w:after="157" w:afterLines="50"/>
        <w:jc w:val="center"/>
        <w:textAlignment w:val="auto"/>
        <w:rPr>
          <w:rFonts w:hint="eastAsia" w:ascii="仿宋_GB2312" w:hAnsi="仿宋_GB2312" w:eastAsia="仿宋_GB2312" w:cs="仿宋_GB2312"/>
          <w:b/>
          <w:sz w:val="36"/>
          <w:szCs w:val="22"/>
          <w:lang w:eastAsia="zh-CN"/>
        </w:rPr>
      </w:pPr>
      <w:bookmarkStart w:id="0" w:name="_GoBack"/>
      <w:r>
        <w:rPr>
          <w:rFonts w:hint="eastAsia" w:ascii="仿宋_GB2312" w:hAnsi="仿宋_GB2312" w:eastAsia="仿宋_GB2312" w:cs="仿宋_GB2312"/>
          <w:b/>
          <w:sz w:val="36"/>
          <w:szCs w:val="22"/>
          <w:lang w:eastAsia="zh-CN"/>
        </w:rPr>
        <w:t>2025年全省应急管理信息系统统一运维服务项目</w:t>
      </w:r>
    </w:p>
    <w:bookmarkEnd w:id="0"/>
    <w:p w14:paraId="5A488180">
      <w:pPr>
        <w:pStyle w:val="9"/>
        <w:jc w:val="both"/>
        <w:rPr>
          <w:rFonts w:hint="default" w:ascii="仿宋_GB2312" w:hAnsi="仿宋_GB2312" w:eastAsia="仿宋_GB2312" w:cs="仿宋_GB2312"/>
          <w:b/>
          <w:sz w:val="32"/>
          <w:szCs w:val="21"/>
          <w:u w:val="single"/>
          <w:lang w:val="en-US" w:eastAsia="zh-CN"/>
        </w:rPr>
      </w:pPr>
      <w:r>
        <w:rPr>
          <w:rFonts w:hint="eastAsia" w:ascii="仿宋_GB2312" w:hAnsi="仿宋_GB2312" w:eastAsia="仿宋_GB2312" w:cs="仿宋_GB2312"/>
          <w:b/>
          <w:sz w:val="32"/>
          <w:szCs w:val="21"/>
          <w:lang w:val="en-US" w:eastAsia="zh-CN"/>
        </w:rPr>
        <w:t>甲方：</w:t>
      </w:r>
      <w:r>
        <w:rPr>
          <w:rFonts w:hint="eastAsia" w:ascii="仿宋_GB2312" w:hAnsi="仿宋_GB2312" w:eastAsia="仿宋_GB2312" w:cs="仿宋_GB2312"/>
          <w:b/>
          <w:sz w:val="32"/>
          <w:szCs w:val="21"/>
          <w:u w:val="single"/>
          <w:lang w:val="en-US" w:eastAsia="zh-CN"/>
        </w:rPr>
        <w:t xml:space="preserve">                    </w:t>
      </w:r>
    </w:p>
    <w:p w14:paraId="58BFC786">
      <w:pPr>
        <w:pStyle w:val="9"/>
        <w:jc w:val="both"/>
        <w:rPr>
          <w:rFonts w:hint="default" w:ascii="仿宋_GB2312" w:hAnsi="仿宋_GB2312" w:eastAsia="仿宋_GB2312" w:cs="仿宋_GB2312"/>
          <w:b/>
          <w:sz w:val="32"/>
          <w:szCs w:val="21"/>
          <w:lang w:val="en-US" w:eastAsia="zh-CN"/>
        </w:rPr>
      </w:pPr>
      <w:r>
        <w:rPr>
          <w:rFonts w:hint="eastAsia" w:ascii="仿宋_GB2312" w:hAnsi="仿宋_GB2312" w:eastAsia="仿宋_GB2312" w:cs="仿宋_GB2312"/>
          <w:b/>
          <w:sz w:val="32"/>
          <w:szCs w:val="21"/>
          <w:lang w:val="en-US" w:eastAsia="zh-CN"/>
        </w:rPr>
        <w:t>乙方：</w:t>
      </w:r>
      <w:r>
        <w:rPr>
          <w:rFonts w:hint="eastAsia" w:ascii="仿宋_GB2312" w:hAnsi="仿宋_GB2312" w:eastAsia="仿宋_GB2312" w:cs="仿宋_GB2312"/>
          <w:b/>
          <w:sz w:val="32"/>
          <w:szCs w:val="21"/>
          <w:u w:val="single"/>
          <w:lang w:val="en-US" w:eastAsia="zh-CN"/>
        </w:rPr>
        <w:t xml:space="preserve">                    </w:t>
      </w:r>
    </w:p>
    <w:p w14:paraId="0EC16D2D">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sz w:val="28"/>
          <w:szCs w:val="28"/>
          <w:lang w:eastAsia="zh-CN"/>
        </w:rPr>
      </w:pPr>
      <w:r>
        <w:rPr>
          <w:rFonts w:hint="eastAsia"/>
          <w:sz w:val="28"/>
          <w:szCs w:val="28"/>
          <w:lang w:eastAsia="zh-CN"/>
        </w:rPr>
        <w:t>根据《中华人民共和国政府采购法》、《中华人民共和国政府采购实施条例》、《中华人民共和国</w:t>
      </w:r>
      <w:r>
        <w:rPr>
          <w:rFonts w:hint="eastAsia"/>
          <w:sz w:val="28"/>
          <w:szCs w:val="28"/>
          <w:lang w:val="en-US" w:eastAsia="zh-CN"/>
        </w:rPr>
        <w:t>民法典</w:t>
      </w:r>
      <w:r>
        <w:rPr>
          <w:rFonts w:hint="eastAsia"/>
          <w:sz w:val="28"/>
          <w:szCs w:val="28"/>
          <w:lang w:eastAsia="zh-CN"/>
        </w:rPr>
        <w:t>》和其他有关法律、法规、规章，结合2025年全省应急管理信息系统统一运维服务项目的开标结果，甲方将本单位2025年全省应急管理信息系统统一运维服务项目委托给乙方。经甲乙双方协商一致，现就有关事项达成如下协议。</w:t>
      </w:r>
    </w:p>
    <w:p w14:paraId="7256CB73">
      <w:pPr>
        <w:pStyle w:val="4"/>
        <w:bidi w:val="0"/>
        <w:rPr>
          <w:rFonts w:hint="eastAsia"/>
          <w:lang w:val="en-US" w:eastAsia="zh-CN"/>
        </w:rPr>
      </w:pPr>
      <w:r>
        <w:rPr>
          <w:rFonts w:hint="eastAsia"/>
          <w:lang w:val="en-US" w:eastAsia="zh-CN"/>
        </w:rPr>
        <w:t>一、委托项目基本情况</w:t>
      </w:r>
    </w:p>
    <w:p w14:paraId="2BA44C64">
      <w:pPr>
        <w:pStyle w:val="9"/>
        <w:keepNext w:val="0"/>
        <w:keepLines w:val="0"/>
        <w:pageBreakBefore w:val="0"/>
        <w:widowControl/>
        <w:kinsoku/>
        <w:wordWrap/>
        <w:overflowPunct/>
        <w:topLinePunct w:val="0"/>
        <w:autoSpaceDE/>
        <w:autoSpaceDN/>
        <w:bidi w:val="0"/>
        <w:adjustRightInd/>
        <w:snapToGrid/>
        <w:spacing w:after="157" w:afterLines="50"/>
        <w:ind w:firstLine="560" w:firstLineChars="200"/>
        <w:jc w:val="both"/>
        <w:textAlignment w:val="auto"/>
        <w:rPr>
          <w:rFonts w:hint="default" w:ascii="Times New Roman" w:hAnsi="Times New Roman" w:eastAsia="仿宋" w:cs="Times New Roman"/>
          <w:kern w:val="2"/>
          <w:sz w:val="28"/>
          <w:szCs w:val="24"/>
          <w:u w:val="none"/>
          <w:lang w:val="en-US" w:eastAsia="zh-CN" w:bidi="ar-SA"/>
        </w:rPr>
      </w:pPr>
      <w:r>
        <w:rPr>
          <w:rFonts w:hint="default" w:ascii="Times New Roman" w:hAnsi="Times New Roman" w:eastAsia="仿宋" w:cs="Times New Roman"/>
          <w:kern w:val="2"/>
          <w:sz w:val="28"/>
          <w:szCs w:val="24"/>
          <w:u w:val="none"/>
          <w:lang w:val="en-US" w:eastAsia="zh-CN" w:bidi="ar-SA"/>
        </w:rPr>
        <w:t>1.项目名称:</w:t>
      </w:r>
      <w:r>
        <w:rPr>
          <w:rFonts w:hint="eastAsia" w:ascii="Times New Roman" w:hAnsi="Times New Roman" w:eastAsia="仿宋" w:cs="Times New Roman"/>
          <w:kern w:val="2"/>
          <w:sz w:val="28"/>
          <w:szCs w:val="24"/>
          <w:u w:val="none"/>
          <w:lang w:val="en-US" w:eastAsia="zh-CN" w:bidi="ar-SA"/>
        </w:rPr>
        <w:t xml:space="preserve"> </w:t>
      </w:r>
      <w:r>
        <w:rPr>
          <w:rFonts w:hint="eastAsia" w:ascii="Times New Roman" w:hAnsi="Times New Roman" w:eastAsia="仿宋" w:cs="Times New Roman"/>
          <w:kern w:val="2"/>
          <w:sz w:val="28"/>
          <w:szCs w:val="24"/>
          <w:u w:val="single"/>
          <w:lang w:val="en-US" w:eastAsia="zh-CN" w:bidi="ar-SA"/>
        </w:rPr>
        <w:t>2025年全省应急管理信息系统统一运维服务项目</w:t>
      </w:r>
    </w:p>
    <w:p w14:paraId="14ADF83C">
      <w:pPr>
        <w:rPr>
          <w:rFonts w:hint="eastAsia"/>
          <w:u w:val="single"/>
          <w:lang w:val="en-US" w:eastAsia="zh-CN"/>
        </w:rPr>
      </w:pPr>
      <w:r>
        <w:rPr>
          <w:rFonts w:hint="default"/>
          <w:lang w:val="en-US" w:eastAsia="zh-CN"/>
        </w:rPr>
        <w:t>2.合同期限:</w:t>
      </w:r>
      <w:r>
        <w:rPr>
          <w:rFonts w:hint="eastAsia"/>
          <w:u w:val="single"/>
          <w:lang w:val="en-US" w:eastAsia="zh-CN"/>
        </w:rPr>
        <w:t xml:space="preserve"> 一年（供应商需支付上一年度运维服务单位超合同期服务费用，具体时间和费用由采购单位明确）</w:t>
      </w:r>
    </w:p>
    <w:p w14:paraId="402B5E2A">
      <w:pPr>
        <w:rPr>
          <w:rFonts w:hint="default"/>
          <w:lang w:val="en-US" w:eastAsia="zh-CN"/>
        </w:rPr>
      </w:pPr>
      <w:r>
        <w:rPr>
          <w:rFonts w:hint="eastAsia"/>
          <w:lang w:val="en-US" w:eastAsia="zh-CN"/>
        </w:rPr>
        <w:t>3</w:t>
      </w:r>
      <w:r>
        <w:rPr>
          <w:rFonts w:hint="default"/>
          <w:lang w:val="en-US" w:eastAsia="zh-CN"/>
        </w:rPr>
        <w:t>.</w:t>
      </w:r>
      <w:r>
        <w:rPr>
          <w:rFonts w:hint="eastAsia"/>
          <w:lang w:val="en-US" w:eastAsia="zh-CN"/>
        </w:rPr>
        <w:t>履行地点</w:t>
      </w:r>
      <w:r>
        <w:rPr>
          <w:rFonts w:hint="default"/>
          <w:lang w:val="en-US" w:eastAsia="zh-CN"/>
        </w:rPr>
        <w:t>:</w:t>
      </w:r>
      <w:r>
        <w:rPr>
          <w:rFonts w:hint="eastAsia"/>
          <w:u w:val="single"/>
          <w:lang w:val="en-US" w:eastAsia="zh-CN"/>
        </w:rPr>
        <w:t xml:space="preserve"> 采购人指定地点      </w:t>
      </w:r>
    </w:p>
    <w:p w14:paraId="2D520293">
      <w:pPr>
        <w:rPr>
          <w:rFonts w:hint="default"/>
          <w:lang w:val="en-US" w:eastAsia="zh-CN"/>
        </w:rPr>
      </w:pPr>
      <w:r>
        <w:rPr>
          <w:rFonts w:hint="eastAsia"/>
          <w:lang w:val="en-US" w:eastAsia="zh-CN"/>
        </w:rPr>
        <w:t>4</w:t>
      </w:r>
      <w:r>
        <w:rPr>
          <w:rFonts w:hint="default"/>
          <w:lang w:val="en-US" w:eastAsia="zh-CN"/>
        </w:rPr>
        <w:t>.合同金额:</w:t>
      </w:r>
      <w:r>
        <w:rPr>
          <w:rFonts w:hint="eastAsia"/>
          <w:u w:val="single"/>
          <w:lang w:val="en-US" w:eastAsia="zh-CN"/>
        </w:rPr>
        <w:t xml:space="preserve">                     </w:t>
      </w:r>
      <w:r>
        <w:rPr>
          <w:rFonts w:hint="eastAsia"/>
          <w:lang w:val="en-US" w:eastAsia="zh-CN"/>
        </w:rPr>
        <w:t xml:space="preserve"> </w:t>
      </w:r>
    </w:p>
    <w:p w14:paraId="25677746">
      <w:pPr>
        <w:rPr>
          <w:rFonts w:hint="default"/>
          <w:u w:val="single"/>
          <w:lang w:val="en-US" w:eastAsia="zh-CN"/>
        </w:rPr>
      </w:pPr>
      <w:r>
        <w:rPr>
          <w:rFonts w:hint="eastAsia"/>
          <w:lang w:val="en-US" w:eastAsia="zh-CN"/>
        </w:rPr>
        <w:t>5.付款</w:t>
      </w:r>
      <w:r>
        <w:rPr>
          <w:rFonts w:hint="default"/>
          <w:lang w:val="en-US" w:eastAsia="zh-CN"/>
        </w:rPr>
        <w:t>方式:</w:t>
      </w:r>
      <w:r>
        <w:rPr>
          <w:rFonts w:hint="eastAsia"/>
          <w:lang w:val="en-US" w:eastAsia="zh-CN"/>
        </w:rPr>
        <w:t xml:space="preserve"> </w:t>
      </w:r>
      <w:r>
        <w:rPr>
          <w:rFonts w:hint="eastAsia"/>
          <w:u w:val="single"/>
          <w:lang w:val="en-US" w:eastAsia="zh-CN"/>
        </w:rPr>
        <w:t xml:space="preserve">    分期支付        </w:t>
      </w:r>
    </w:p>
    <w:tbl>
      <w:tblPr>
        <w:tblStyle w:val="6"/>
        <w:tblW w:w="0" w:type="auto"/>
        <w:tblInd w:w="502" w:type="dxa"/>
        <w:tblLayout w:type="fixed"/>
        <w:tblCellMar>
          <w:top w:w="0" w:type="dxa"/>
          <w:left w:w="0" w:type="dxa"/>
          <w:bottom w:w="0" w:type="dxa"/>
          <w:right w:w="0" w:type="dxa"/>
        </w:tblCellMar>
      </w:tblPr>
      <w:tblGrid>
        <w:gridCol w:w="789"/>
        <w:gridCol w:w="1936"/>
        <w:gridCol w:w="2714"/>
        <w:gridCol w:w="2890"/>
      </w:tblGrid>
      <w:tr w14:paraId="0CE6DEB5">
        <w:tblPrEx>
          <w:tblCellMar>
            <w:top w:w="0" w:type="dxa"/>
            <w:left w:w="0" w:type="dxa"/>
            <w:bottom w:w="0" w:type="dxa"/>
            <w:right w:w="0" w:type="dxa"/>
          </w:tblCellMar>
        </w:tblPrEx>
        <w:trPr>
          <w:trHeight w:val="570" w:hRule="atLeast"/>
          <w:tblHeader/>
        </w:trPr>
        <w:tc>
          <w:tcPr>
            <w:tcW w:w="78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779D482">
            <w:pPr>
              <w:keepNext w:val="0"/>
              <w:keepLines w:val="0"/>
              <w:pageBreakBefore w:val="0"/>
              <w:widowControl/>
              <w:shd w:val="clear" w:color="auto" w:fill="auto"/>
              <w:kinsoku/>
              <w:wordWrap/>
              <w:overflowPunct/>
              <w:topLinePunct w:val="0"/>
              <w:autoSpaceDE w:val="0"/>
              <w:autoSpaceDN w:val="0"/>
              <w:bidi w:val="0"/>
              <w:adjustRightInd/>
              <w:snapToGrid/>
              <w:spacing w:line="240" w:lineRule="auto"/>
              <w:ind w:firstLine="0" w:firstLineChars="0"/>
              <w:jc w:val="center"/>
              <w:textAlignment w:val="auto"/>
              <w:rPr>
                <w:b/>
                <w:sz w:val="24"/>
              </w:rPr>
            </w:pPr>
            <w:r>
              <w:rPr>
                <w:rFonts w:ascii="宋体" w:hAnsi="宋体" w:cs="宋体"/>
                <w:b/>
                <w:kern w:val="0"/>
                <w:sz w:val="24"/>
                <w:lang w:bidi="ar"/>
              </w:rPr>
              <w:t>序号</w:t>
            </w:r>
          </w:p>
        </w:tc>
        <w:tc>
          <w:tcPr>
            <w:tcW w:w="193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DA449F6">
            <w:pPr>
              <w:keepNext w:val="0"/>
              <w:keepLines w:val="0"/>
              <w:pageBreakBefore w:val="0"/>
              <w:widowControl/>
              <w:shd w:val="clear" w:color="auto" w:fill="auto"/>
              <w:kinsoku/>
              <w:wordWrap/>
              <w:overflowPunct/>
              <w:topLinePunct w:val="0"/>
              <w:autoSpaceDE w:val="0"/>
              <w:autoSpaceDN w:val="0"/>
              <w:bidi w:val="0"/>
              <w:adjustRightInd/>
              <w:snapToGrid/>
              <w:spacing w:line="240" w:lineRule="auto"/>
              <w:ind w:firstLine="0" w:firstLineChars="0"/>
              <w:jc w:val="center"/>
              <w:textAlignment w:val="auto"/>
              <w:rPr>
                <w:b/>
                <w:sz w:val="24"/>
              </w:rPr>
            </w:pPr>
            <w:r>
              <w:rPr>
                <w:rFonts w:hint="eastAsia" w:ascii="宋体" w:hAnsi="宋体" w:cs="宋体"/>
                <w:b/>
                <w:kern w:val="0"/>
                <w:sz w:val="24"/>
                <w:lang w:bidi="ar"/>
              </w:rPr>
              <w:t>付款条件</w:t>
            </w:r>
          </w:p>
        </w:tc>
        <w:tc>
          <w:tcPr>
            <w:tcW w:w="271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AA5D767">
            <w:pPr>
              <w:keepNext w:val="0"/>
              <w:keepLines w:val="0"/>
              <w:pageBreakBefore w:val="0"/>
              <w:widowControl/>
              <w:shd w:val="clear" w:color="auto" w:fill="auto"/>
              <w:kinsoku/>
              <w:wordWrap/>
              <w:overflowPunct/>
              <w:topLinePunct w:val="0"/>
              <w:autoSpaceDE w:val="0"/>
              <w:autoSpaceDN w:val="0"/>
              <w:bidi w:val="0"/>
              <w:adjustRightInd/>
              <w:snapToGrid/>
              <w:spacing w:line="240" w:lineRule="auto"/>
              <w:ind w:firstLine="0" w:firstLineChars="0"/>
              <w:jc w:val="center"/>
              <w:textAlignment w:val="auto"/>
              <w:rPr>
                <w:b/>
                <w:sz w:val="24"/>
              </w:rPr>
            </w:pPr>
            <w:r>
              <w:rPr>
                <w:rFonts w:hint="eastAsia" w:ascii="宋体" w:hAnsi="宋体" w:cs="宋体"/>
                <w:b/>
                <w:kern w:val="0"/>
                <w:sz w:val="24"/>
                <w:lang w:bidi="ar"/>
              </w:rPr>
              <w:t>达到付款条件起XX日</w:t>
            </w:r>
          </w:p>
        </w:tc>
        <w:tc>
          <w:tcPr>
            <w:tcW w:w="289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4368C9A">
            <w:pPr>
              <w:keepNext w:val="0"/>
              <w:keepLines w:val="0"/>
              <w:pageBreakBefore w:val="0"/>
              <w:widowControl/>
              <w:shd w:val="clear" w:color="auto" w:fill="auto"/>
              <w:kinsoku/>
              <w:wordWrap/>
              <w:overflowPunct/>
              <w:topLinePunct w:val="0"/>
              <w:autoSpaceDE w:val="0"/>
              <w:autoSpaceDN w:val="0"/>
              <w:bidi w:val="0"/>
              <w:adjustRightInd/>
              <w:snapToGrid/>
              <w:spacing w:line="240" w:lineRule="auto"/>
              <w:ind w:firstLine="0" w:firstLineChars="0"/>
              <w:jc w:val="center"/>
              <w:textAlignment w:val="auto"/>
              <w:rPr>
                <w:rFonts w:ascii="宋体" w:hAnsi="宋体" w:cs="宋体"/>
                <w:b/>
                <w:kern w:val="0"/>
                <w:sz w:val="24"/>
                <w:lang w:bidi="ar"/>
              </w:rPr>
            </w:pPr>
            <w:r>
              <w:rPr>
                <w:rFonts w:hint="eastAsia" w:ascii="宋体" w:hAnsi="宋体" w:cs="宋体"/>
                <w:b/>
                <w:kern w:val="0"/>
                <w:sz w:val="24"/>
                <w:lang w:bidi="ar"/>
              </w:rPr>
              <w:t>支付合同总金额XX%</w:t>
            </w:r>
          </w:p>
        </w:tc>
      </w:tr>
      <w:tr w14:paraId="2FDE3A1C">
        <w:tblPrEx>
          <w:tblCellMar>
            <w:top w:w="0" w:type="dxa"/>
            <w:left w:w="0" w:type="dxa"/>
            <w:bottom w:w="0" w:type="dxa"/>
            <w:right w:w="0" w:type="dxa"/>
          </w:tblCellMar>
        </w:tblPrEx>
        <w:trPr>
          <w:trHeight w:val="480" w:hRule="atLeast"/>
        </w:trPr>
        <w:tc>
          <w:tcPr>
            <w:tcW w:w="78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BBE2761">
            <w:pPr>
              <w:keepNext w:val="0"/>
              <w:keepLines w:val="0"/>
              <w:pageBreakBefore w:val="0"/>
              <w:widowControl/>
              <w:shd w:val="clear" w:color="auto" w:fill="auto"/>
              <w:kinsoku/>
              <w:wordWrap w:val="0"/>
              <w:overflowPunct/>
              <w:topLinePunct w:val="0"/>
              <w:autoSpaceDE w:val="0"/>
              <w:autoSpaceDN w:val="0"/>
              <w:bidi w:val="0"/>
              <w:adjustRightInd/>
              <w:snapToGrid/>
              <w:spacing w:line="240" w:lineRule="auto"/>
              <w:ind w:left="0" w:leftChars="0" w:firstLine="0" w:firstLineChars="0"/>
              <w:jc w:val="center"/>
              <w:textAlignment w:val="auto"/>
              <w:rPr>
                <w:color w:val="auto"/>
                <w:sz w:val="24"/>
              </w:rPr>
            </w:pPr>
            <w:r>
              <w:rPr>
                <w:rFonts w:hint="eastAsia" w:ascii="宋体" w:hAnsi="宋体" w:cs="宋体"/>
                <w:color w:val="auto"/>
                <w:kern w:val="0"/>
                <w:sz w:val="24"/>
                <w:shd w:val="clear" w:color="auto" w:fill="FFFFFF"/>
                <w:lang w:bidi="ar"/>
              </w:rPr>
              <w:t>1</w:t>
            </w:r>
          </w:p>
        </w:tc>
        <w:tc>
          <w:tcPr>
            <w:tcW w:w="193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81B62D9">
            <w:pPr>
              <w:pStyle w:val="5"/>
              <w:keepNext w:val="0"/>
              <w:keepLines w:val="0"/>
              <w:pageBreakBefore w:val="0"/>
              <w:widowControl/>
              <w:shd w:val="clear" w:color="auto" w:fill="auto"/>
              <w:kinsoku/>
              <w:overflowPunct/>
              <w:topLinePunct w:val="0"/>
              <w:autoSpaceDE w:val="0"/>
              <w:autoSpaceDN w:val="0"/>
              <w:bidi w:val="0"/>
              <w:adjustRightInd/>
              <w:snapToGrid/>
              <w:spacing w:before="0" w:beforeAutospacing="0" w:after="0" w:afterAutospacing="0" w:line="240" w:lineRule="auto"/>
              <w:ind w:left="0" w:leftChars="0" w:firstLine="0" w:firstLineChars="0"/>
              <w:jc w:val="center"/>
              <w:textAlignment w:val="auto"/>
              <w:rPr>
                <w:rFonts w:hint="default" w:ascii="宋体" w:hAnsi="宋体" w:eastAsia="仿宋" w:cs="宋体"/>
                <w:color w:val="auto"/>
                <w:shd w:val="clear" w:color="auto" w:fill="FFFFFF"/>
                <w:lang w:val="en-US" w:eastAsia="zh-CN"/>
              </w:rPr>
            </w:pPr>
            <w:r>
              <w:rPr>
                <w:rFonts w:hint="eastAsia" w:ascii="宋体" w:hAnsi="宋体" w:cs="宋体"/>
                <w:color w:val="auto"/>
                <w:shd w:val="clear" w:color="auto" w:fill="FFFFFF"/>
                <w:lang w:val="en-US" w:eastAsia="zh-CN"/>
              </w:rPr>
              <w:t>合同签订后</w:t>
            </w:r>
          </w:p>
        </w:tc>
        <w:tc>
          <w:tcPr>
            <w:tcW w:w="271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C17FC67">
            <w:pPr>
              <w:pStyle w:val="5"/>
              <w:keepNext w:val="0"/>
              <w:keepLines w:val="0"/>
              <w:pageBreakBefore w:val="0"/>
              <w:widowControl/>
              <w:shd w:val="clear" w:color="auto" w:fill="auto"/>
              <w:kinsoku/>
              <w:overflowPunct/>
              <w:topLinePunct w:val="0"/>
              <w:autoSpaceDE w:val="0"/>
              <w:autoSpaceDN w:val="0"/>
              <w:bidi w:val="0"/>
              <w:adjustRightInd/>
              <w:snapToGrid/>
              <w:spacing w:before="0" w:beforeAutospacing="0" w:after="0" w:afterAutospacing="0" w:line="240" w:lineRule="auto"/>
              <w:ind w:firstLine="960" w:firstLineChars="400"/>
              <w:jc w:val="both"/>
              <w:textAlignment w:val="auto"/>
              <w:rPr>
                <w:rFonts w:ascii="宋体" w:hAnsi="宋体" w:cs="宋体"/>
                <w:color w:val="auto"/>
                <w:shd w:val="clear" w:color="auto" w:fill="FFFFFF"/>
              </w:rPr>
            </w:pPr>
            <w:r>
              <w:rPr>
                <w:rFonts w:hint="eastAsia" w:ascii="宋体" w:hAnsi="宋体" w:cs="宋体"/>
                <w:color w:val="auto"/>
                <w:shd w:val="clear" w:color="auto" w:fill="FFFFFF"/>
              </w:rPr>
              <w:t>10日</w:t>
            </w:r>
          </w:p>
        </w:tc>
        <w:tc>
          <w:tcPr>
            <w:tcW w:w="289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EE9AA2E">
            <w:pPr>
              <w:pStyle w:val="5"/>
              <w:keepNext w:val="0"/>
              <w:keepLines w:val="0"/>
              <w:pageBreakBefore w:val="0"/>
              <w:widowControl/>
              <w:shd w:val="clear" w:color="auto" w:fill="auto"/>
              <w:kinsoku/>
              <w:overflowPunct/>
              <w:topLinePunct w:val="0"/>
              <w:autoSpaceDE w:val="0"/>
              <w:autoSpaceDN w:val="0"/>
              <w:bidi w:val="0"/>
              <w:adjustRightInd/>
              <w:snapToGrid/>
              <w:spacing w:before="0" w:beforeAutospacing="0" w:after="0" w:afterAutospacing="0" w:line="240" w:lineRule="auto"/>
              <w:ind w:left="0" w:leftChars="0" w:firstLine="0" w:firstLineChars="0"/>
              <w:jc w:val="center"/>
              <w:textAlignment w:val="auto"/>
              <w:rPr>
                <w:rFonts w:ascii="宋体" w:hAnsi="宋体" w:cs="宋体"/>
                <w:color w:val="auto"/>
                <w:shd w:val="clear" w:color="auto" w:fill="FFFFFF"/>
              </w:rPr>
            </w:pPr>
            <w:r>
              <w:rPr>
                <w:rFonts w:hint="eastAsia" w:ascii="宋体" w:hAnsi="宋体" w:cs="宋体"/>
                <w:color w:val="auto"/>
                <w:shd w:val="clear" w:color="auto" w:fill="FFFFFF"/>
                <w:lang w:val="en-US" w:eastAsia="zh-CN"/>
              </w:rPr>
              <w:t>80</w:t>
            </w:r>
            <w:r>
              <w:rPr>
                <w:rFonts w:hint="eastAsia" w:ascii="宋体" w:hAnsi="宋体" w:cs="宋体"/>
                <w:color w:val="auto"/>
                <w:shd w:val="clear" w:color="auto" w:fill="FFFFFF"/>
              </w:rPr>
              <w:t>%</w:t>
            </w:r>
          </w:p>
        </w:tc>
      </w:tr>
      <w:tr w14:paraId="499FA622">
        <w:tblPrEx>
          <w:tblCellMar>
            <w:top w:w="0" w:type="dxa"/>
            <w:left w:w="0" w:type="dxa"/>
            <w:bottom w:w="0" w:type="dxa"/>
            <w:right w:w="0" w:type="dxa"/>
          </w:tblCellMar>
        </w:tblPrEx>
        <w:trPr>
          <w:trHeight w:val="480" w:hRule="atLeast"/>
        </w:trPr>
        <w:tc>
          <w:tcPr>
            <w:tcW w:w="789"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1AD598E">
            <w:pPr>
              <w:keepNext w:val="0"/>
              <w:keepLines w:val="0"/>
              <w:pageBreakBefore w:val="0"/>
              <w:widowControl/>
              <w:shd w:val="clear" w:color="auto" w:fill="auto"/>
              <w:kinsoku/>
              <w:wordWrap w:val="0"/>
              <w:overflowPunct/>
              <w:topLinePunct w:val="0"/>
              <w:autoSpaceDE w:val="0"/>
              <w:autoSpaceDN w:val="0"/>
              <w:bidi w:val="0"/>
              <w:adjustRightInd/>
              <w:snapToGrid/>
              <w:spacing w:line="240" w:lineRule="auto"/>
              <w:ind w:left="0" w:leftChars="0" w:firstLine="0" w:firstLineChars="0"/>
              <w:jc w:val="center"/>
              <w:textAlignment w:val="auto"/>
              <w:rPr>
                <w:rFonts w:hint="default" w:ascii="宋体" w:hAnsi="宋体" w:eastAsia="仿宋" w:cs="宋体"/>
                <w:color w:val="auto"/>
                <w:kern w:val="0"/>
                <w:sz w:val="24"/>
                <w:shd w:val="clear" w:color="auto" w:fill="FFFFFF"/>
                <w:lang w:val="en-US" w:eastAsia="zh-CN" w:bidi="ar"/>
              </w:rPr>
            </w:pPr>
            <w:r>
              <w:rPr>
                <w:rFonts w:hint="eastAsia" w:ascii="宋体" w:hAnsi="宋体" w:cs="宋体"/>
                <w:color w:val="auto"/>
                <w:kern w:val="0"/>
                <w:sz w:val="24"/>
                <w:shd w:val="clear" w:color="auto" w:fill="FFFFFF"/>
                <w:lang w:val="en-US" w:eastAsia="zh-CN" w:bidi="ar"/>
              </w:rPr>
              <w:t>2</w:t>
            </w:r>
          </w:p>
        </w:tc>
        <w:tc>
          <w:tcPr>
            <w:tcW w:w="193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B05A652">
            <w:pPr>
              <w:pStyle w:val="5"/>
              <w:keepNext w:val="0"/>
              <w:keepLines w:val="0"/>
              <w:pageBreakBefore w:val="0"/>
              <w:widowControl/>
              <w:shd w:val="clear" w:color="auto" w:fill="auto"/>
              <w:kinsoku/>
              <w:overflowPunct/>
              <w:topLinePunct w:val="0"/>
              <w:autoSpaceDE w:val="0"/>
              <w:autoSpaceDN w:val="0"/>
              <w:bidi w:val="0"/>
              <w:adjustRightInd/>
              <w:snapToGrid/>
              <w:spacing w:before="0" w:beforeAutospacing="0" w:after="0" w:afterAutospacing="0" w:line="240" w:lineRule="auto"/>
              <w:ind w:left="0" w:leftChars="0" w:firstLine="0" w:firstLineChars="0"/>
              <w:jc w:val="center"/>
              <w:textAlignment w:val="auto"/>
              <w:rPr>
                <w:rFonts w:hint="default" w:ascii="宋体" w:hAnsi="宋体" w:cs="宋体"/>
                <w:color w:val="auto"/>
                <w:shd w:val="clear" w:color="auto" w:fill="FFFFFF"/>
                <w:lang w:val="en-US" w:eastAsia="zh-CN"/>
              </w:rPr>
            </w:pPr>
            <w:r>
              <w:rPr>
                <w:rFonts w:hint="eastAsia" w:ascii="宋体" w:hAnsi="宋体" w:cs="宋体"/>
                <w:color w:val="auto"/>
                <w:shd w:val="clear" w:color="auto" w:fill="FFFFFF"/>
                <w:lang w:val="en-US" w:eastAsia="zh-CN"/>
              </w:rPr>
              <w:t>验收合格后</w:t>
            </w:r>
          </w:p>
        </w:tc>
        <w:tc>
          <w:tcPr>
            <w:tcW w:w="2714"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CFC5981">
            <w:pPr>
              <w:pStyle w:val="5"/>
              <w:keepNext w:val="0"/>
              <w:keepLines w:val="0"/>
              <w:pageBreakBefore w:val="0"/>
              <w:widowControl/>
              <w:shd w:val="clear" w:color="auto" w:fill="auto"/>
              <w:kinsoku/>
              <w:overflowPunct/>
              <w:topLinePunct w:val="0"/>
              <w:autoSpaceDE w:val="0"/>
              <w:autoSpaceDN w:val="0"/>
              <w:bidi w:val="0"/>
              <w:adjustRightInd/>
              <w:snapToGrid/>
              <w:spacing w:before="0" w:beforeAutospacing="0" w:after="0" w:afterAutospacing="0" w:line="240" w:lineRule="auto"/>
              <w:ind w:firstLine="960" w:firstLineChars="400"/>
              <w:jc w:val="both"/>
              <w:textAlignment w:val="auto"/>
              <w:rPr>
                <w:rFonts w:hint="eastAsia" w:ascii="宋体" w:hAnsi="宋体" w:cs="宋体"/>
                <w:color w:val="auto"/>
                <w:shd w:val="clear" w:color="auto" w:fill="FFFFFF"/>
              </w:rPr>
            </w:pPr>
            <w:r>
              <w:rPr>
                <w:rFonts w:hint="eastAsia" w:ascii="宋体" w:hAnsi="宋体" w:cs="宋体"/>
                <w:color w:val="auto"/>
                <w:shd w:val="clear" w:color="auto" w:fill="FFFFFF"/>
              </w:rPr>
              <w:t>10日</w:t>
            </w:r>
          </w:p>
        </w:tc>
        <w:tc>
          <w:tcPr>
            <w:tcW w:w="289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3474D0C">
            <w:pPr>
              <w:pStyle w:val="5"/>
              <w:keepNext w:val="0"/>
              <w:keepLines w:val="0"/>
              <w:pageBreakBefore w:val="0"/>
              <w:widowControl/>
              <w:shd w:val="clear" w:color="auto" w:fill="auto"/>
              <w:kinsoku/>
              <w:overflowPunct/>
              <w:topLinePunct w:val="0"/>
              <w:autoSpaceDE w:val="0"/>
              <w:autoSpaceDN w:val="0"/>
              <w:bidi w:val="0"/>
              <w:adjustRightInd/>
              <w:snapToGrid/>
              <w:spacing w:before="0" w:beforeAutospacing="0" w:after="0" w:afterAutospacing="0" w:line="240" w:lineRule="auto"/>
              <w:ind w:left="0" w:leftChars="0" w:firstLine="0" w:firstLineChars="0"/>
              <w:jc w:val="center"/>
              <w:textAlignment w:val="auto"/>
              <w:rPr>
                <w:rFonts w:hint="eastAsia" w:ascii="宋体" w:hAnsi="宋体" w:cs="宋体"/>
                <w:color w:val="auto"/>
                <w:shd w:val="clear" w:color="auto" w:fill="FFFFFF"/>
                <w:lang w:val="en-US" w:eastAsia="zh-CN"/>
              </w:rPr>
            </w:pPr>
            <w:r>
              <w:rPr>
                <w:rFonts w:hint="eastAsia" w:ascii="宋体" w:hAnsi="宋体" w:cs="宋体"/>
                <w:color w:val="auto"/>
                <w:shd w:val="clear" w:color="auto" w:fill="FFFFFF"/>
                <w:lang w:val="en-US" w:eastAsia="zh-CN"/>
              </w:rPr>
              <w:t>20</w:t>
            </w:r>
            <w:r>
              <w:rPr>
                <w:rFonts w:hint="eastAsia" w:ascii="宋体" w:hAnsi="宋体" w:cs="宋体"/>
                <w:color w:val="auto"/>
                <w:shd w:val="clear" w:color="auto" w:fill="FFFFFF"/>
              </w:rPr>
              <w:t>%</w:t>
            </w:r>
          </w:p>
        </w:tc>
      </w:tr>
    </w:tbl>
    <w:p w14:paraId="7811110C">
      <w:pPr>
        <w:keepNext w:val="0"/>
        <w:keepLines w:val="0"/>
        <w:pageBreakBefore w:val="0"/>
        <w:widowControl w:val="0"/>
        <w:shd w:val="clear" w:color="auto" w:fill="auto"/>
        <w:kinsoku/>
        <w:wordWrap/>
        <w:overflowPunct/>
        <w:topLinePunct w:val="0"/>
        <w:autoSpaceDE w:val="0"/>
        <w:autoSpaceDN w:val="0"/>
        <w:bidi w:val="0"/>
        <w:adjustRightInd/>
        <w:snapToGrid/>
        <w:spacing w:before="0" w:beforeLines="50"/>
        <w:textAlignment w:val="auto"/>
        <w:rPr>
          <w:rFonts w:hint="eastAsia"/>
          <w:lang w:val="en-US" w:eastAsia="zh-CN"/>
        </w:rPr>
      </w:pPr>
      <w:r>
        <w:rPr>
          <w:rFonts w:hint="eastAsia"/>
          <w:lang w:val="en-US" w:eastAsia="zh-CN"/>
        </w:rPr>
        <w:t>①合同总价包括:系统监控、数据管理、故障排查、系统优化等其他有关各项的含税费用，服务将覆盖甲方指定区域的所有信息系统，包括但不限于硬件设施、软件系统、网络环境等；</w:t>
      </w:r>
    </w:p>
    <w:p w14:paraId="735175DC">
      <w:pPr>
        <w:shd w:val="clear" w:color="auto" w:fill="auto"/>
        <w:bidi w:val="0"/>
        <w:rPr>
          <w:rFonts w:hint="eastAsia"/>
          <w:lang w:val="en-US" w:eastAsia="zh-CN"/>
        </w:rPr>
      </w:pPr>
      <w:r>
        <w:rPr>
          <w:rFonts w:hint="eastAsia"/>
          <w:lang w:val="en-US" w:eastAsia="zh-CN"/>
        </w:rPr>
        <w:t>②投标报价不受市场价格等其它因素的影响；</w:t>
      </w:r>
    </w:p>
    <w:p w14:paraId="1DED9C14">
      <w:pPr>
        <w:shd w:val="clear" w:color="auto" w:fill="auto"/>
        <w:bidi w:val="0"/>
        <w:rPr>
          <w:rFonts w:hint="eastAsia"/>
          <w:lang w:val="en-US" w:eastAsia="zh-CN"/>
        </w:rPr>
      </w:pPr>
      <w:r>
        <w:rPr>
          <w:rFonts w:hint="eastAsia"/>
          <w:lang w:val="en-US" w:eastAsia="zh-CN"/>
        </w:rPr>
        <w:t>③验收合格后由采购人填写《政府采购项目验收单》，供应商持中标通知书、服务合同、正式发票、政府采购项目验收单，与采购人进行结算。</w:t>
      </w:r>
    </w:p>
    <w:p w14:paraId="4B913476">
      <w:pPr>
        <w:pStyle w:val="4"/>
        <w:bidi w:val="0"/>
        <w:rPr>
          <w:rFonts w:hint="eastAsia"/>
          <w:lang w:val="en-US" w:eastAsia="zh-CN"/>
        </w:rPr>
      </w:pPr>
      <w:r>
        <w:rPr>
          <w:rFonts w:hint="eastAsia"/>
          <w:lang w:val="en-US" w:eastAsia="zh-CN"/>
        </w:rPr>
        <w:t>二、组成合同的文件</w:t>
      </w:r>
    </w:p>
    <w:p w14:paraId="6C52D7F7">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sz w:val="28"/>
          <w:szCs w:val="28"/>
          <w:lang w:val="en-US" w:eastAsia="zh-CN"/>
        </w:rPr>
      </w:pPr>
      <w:r>
        <w:rPr>
          <w:rFonts w:hint="eastAsia"/>
          <w:sz w:val="28"/>
          <w:szCs w:val="28"/>
          <w:lang w:val="en-US" w:eastAsia="zh-CN"/>
        </w:rPr>
        <w:t>1.合同协议书</w:t>
      </w:r>
    </w:p>
    <w:p w14:paraId="030ED579">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sz w:val="28"/>
          <w:szCs w:val="28"/>
          <w:lang w:val="en-US" w:eastAsia="zh-CN"/>
        </w:rPr>
      </w:pPr>
      <w:r>
        <w:rPr>
          <w:rFonts w:hint="eastAsia"/>
          <w:sz w:val="28"/>
          <w:szCs w:val="28"/>
          <w:lang w:val="en-US" w:eastAsia="zh-CN"/>
        </w:rPr>
        <w:t>2.中标通知书</w:t>
      </w:r>
    </w:p>
    <w:p w14:paraId="19F89942">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default"/>
          <w:sz w:val="28"/>
          <w:szCs w:val="28"/>
          <w:lang w:val="en-US" w:eastAsia="zh-CN"/>
        </w:rPr>
      </w:pPr>
      <w:r>
        <w:rPr>
          <w:rFonts w:hint="eastAsia"/>
          <w:sz w:val="28"/>
          <w:szCs w:val="28"/>
          <w:lang w:val="en-US" w:eastAsia="zh-CN"/>
        </w:rPr>
        <w:t>3.招标文件及澄清</w:t>
      </w:r>
    </w:p>
    <w:p w14:paraId="3CB64FFC">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sz w:val="28"/>
          <w:szCs w:val="28"/>
          <w:lang w:val="en-US" w:eastAsia="zh-CN"/>
        </w:rPr>
      </w:pPr>
      <w:r>
        <w:rPr>
          <w:rFonts w:hint="eastAsia"/>
          <w:sz w:val="28"/>
          <w:szCs w:val="28"/>
          <w:lang w:val="en-US" w:eastAsia="zh-CN"/>
        </w:rPr>
        <w:t>4.投标文件及澄清</w:t>
      </w:r>
    </w:p>
    <w:p w14:paraId="617D96B3">
      <w:pPr>
        <w:keepNext w:val="0"/>
        <w:keepLines w:val="0"/>
        <w:pageBreakBefore w:val="0"/>
        <w:widowControl w:val="0"/>
        <w:kinsoku/>
        <w:wordWrap/>
        <w:overflowPunct/>
        <w:topLinePunct w:val="0"/>
        <w:autoSpaceDE w:val="0"/>
        <w:autoSpaceDN w:val="0"/>
        <w:bidi w:val="0"/>
        <w:adjustRightInd/>
        <w:snapToGrid/>
        <w:spacing w:line="240" w:lineRule="auto"/>
        <w:textAlignment w:val="auto"/>
        <w:rPr>
          <w:rFonts w:hint="eastAsia"/>
          <w:sz w:val="28"/>
          <w:szCs w:val="28"/>
          <w:lang w:val="en-US" w:eastAsia="zh-CN"/>
        </w:rPr>
      </w:pPr>
      <w:r>
        <w:rPr>
          <w:rFonts w:hint="eastAsia"/>
          <w:sz w:val="28"/>
          <w:szCs w:val="28"/>
          <w:lang w:val="en-US" w:eastAsia="zh-CN"/>
        </w:rPr>
        <w:t>5.其他附件</w:t>
      </w:r>
    </w:p>
    <w:p w14:paraId="45752637">
      <w:pPr>
        <w:pStyle w:val="4"/>
        <w:bidi w:val="0"/>
        <w:rPr>
          <w:rFonts w:hint="eastAsia"/>
          <w:lang w:val="en-US" w:eastAsia="zh-CN"/>
        </w:rPr>
      </w:pPr>
      <w:r>
        <w:rPr>
          <w:rFonts w:hint="eastAsia"/>
          <w:lang w:val="en-US" w:eastAsia="zh-CN"/>
        </w:rPr>
        <w:t>三、服务内容</w:t>
      </w:r>
    </w:p>
    <w:p w14:paraId="11505CD7">
      <w:pPr>
        <w:rPr>
          <w:rFonts w:hint="default"/>
          <w:u w:val="single"/>
          <w:lang w:val="en-US" w:eastAsia="zh-CN"/>
        </w:rPr>
      </w:pPr>
      <w:r>
        <w:rPr>
          <w:rFonts w:hint="eastAsia"/>
          <w:u w:val="single"/>
          <w:lang w:val="en-US" w:eastAsia="zh-CN"/>
        </w:rPr>
        <w:t xml:space="preserve">                                </w:t>
      </w:r>
      <w:r>
        <w:rPr>
          <w:rFonts w:hint="default"/>
          <w:lang w:val="en-US" w:eastAsia="zh-CN"/>
        </w:rPr>
        <w:t>。</w:t>
      </w:r>
      <w:r>
        <w:rPr>
          <w:rFonts w:hint="eastAsia"/>
          <w:lang w:val="en-US" w:eastAsia="zh-CN"/>
        </w:rPr>
        <w:t xml:space="preserve"> </w:t>
      </w:r>
    </w:p>
    <w:p w14:paraId="5453047C">
      <w:pPr>
        <w:pStyle w:val="4"/>
        <w:bidi w:val="0"/>
        <w:rPr>
          <w:rFonts w:hint="eastAsia"/>
          <w:lang w:val="en-US" w:eastAsia="zh-CN"/>
        </w:rPr>
      </w:pPr>
      <w:r>
        <w:rPr>
          <w:rFonts w:hint="eastAsia"/>
          <w:lang w:val="en-US" w:eastAsia="zh-CN"/>
        </w:rPr>
        <w:t>四、主要人员配置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687"/>
        <w:gridCol w:w="2360"/>
        <w:gridCol w:w="3410"/>
      </w:tblGrid>
      <w:tr w14:paraId="098D1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065" w:type="dxa"/>
            <w:noWrap w:val="0"/>
            <w:vAlign w:val="center"/>
          </w:tcPr>
          <w:p w14:paraId="67B24D5F">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b/>
                <w:bCs/>
                <w:lang w:val="en-US" w:eastAsia="zh-CN"/>
              </w:rPr>
            </w:pPr>
            <w:r>
              <w:rPr>
                <w:rFonts w:hint="eastAsia"/>
                <w:b/>
                <w:bCs/>
                <w:lang w:val="en-US" w:eastAsia="zh-CN"/>
              </w:rPr>
              <w:t>序号</w:t>
            </w:r>
          </w:p>
        </w:tc>
        <w:tc>
          <w:tcPr>
            <w:tcW w:w="1687" w:type="dxa"/>
            <w:noWrap w:val="0"/>
            <w:vAlign w:val="center"/>
          </w:tcPr>
          <w:p w14:paraId="3E95E24C">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b/>
                <w:bCs/>
                <w:lang w:val="en-US" w:eastAsia="zh-CN"/>
              </w:rPr>
            </w:pPr>
            <w:r>
              <w:rPr>
                <w:rFonts w:hint="eastAsia"/>
                <w:b/>
                <w:bCs/>
                <w:lang w:val="en-US" w:eastAsia="zh-CN"/>
              </w:rPr>
              <w:t>姓名</w:t>
            </w:r>
          </w:p>
        </w:tc>
        <w:tc>
          <w:tcPr>
            <w:tcW w:w="2360" w:type="dxa"/>
            <w:noWrap w:val="0"/>
            <w:vAlign w:val="center"/>
          </w:tcPr>
          <w:p w14:paraId="222FC995">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b/>
                <w:bCs/>
                <w:lang w:val="en-US" w:eastAsia="zh-CN"/>
              </w:rPr>
            </w:pPr>
            <w:r>
              <w:rPr>
                <w:rFonts w:hint="eastAsia"/>
                <w:b/>
                <w:bCs/>
                <w:lang w:val="en-US" w:eastAsia="zh-CN"/>
              </w:rPr>
              <w:t>联系方式</w:t>
            </w:r>
          </w:p>
        </w:tc>
        <w:tc>
          <w:tcPr>
            <w:tcW w:w="3410" w:type="dxa"/>
            <w:noWrap w:val="0"/>
            <w:vAlign w:val="top"/>
          </w:tcPr>
          <w:p w14:paraId="04A574F7">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b/>
                <w:bCs/>
                <w:lang w:val="en-US" w:eastAsia="zh-CN"/>
              </w:rPr>
            </w:pPr>
            <w:r>
              <w:rPr>
                <w:rFonts w:hint="eastAsia"/>
                <w:b/>
                <w:bCs/>
                <w:lang w:val="en-US" w:eastAsia="zh-CN"/>
              </w:rPr>
              <w:t>岗位</w:t>
            </w:r>
          </w:p>
          <w:p w14:paraId="50954878">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b/>
                <w:bCs/>
                <w:lang w:val="en-US" w:eastAsia="zh-CN"/>
              </w:rPr>
            </w:pPr>
            <w:r>
              <w:rPr>
                <w:rFonts w:hint="eastAsia"/>
                <w:b/>
                <w:bCs/>
                <w:lang w:val="en-US" w:eastAsia="zh-CN"/>
              </w:rPr>
              <w:t>（技术职称）</w:t>
            </w:r>
          </w:p>
        </w:tc>
      </w:tr>
      <w:tr w14:paraId="26BA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14:paraId="7B52EC7A">
            <w:pPr>
              <w:pStyle w:val="9"/>
              <w:widowControl w:val="0"/>
              <w:jc w:val="center"/>
              <w:rPr>
                <w:rFonts w:hint="eastAsia" w:ascii="仿宋_GB2312" w:hAnsi="仿宋_GB2312" w:eastAsia="仿宋_GB2312" w:cs="仿宋_GB2312"/>
                <w:b/>
                <w:sz w:val="56"/>
                <w:szCs w:val="40"/>
                <w:vertAlign w:val="baseline"/>
                <w:lang w:val="en-US" w:eastAsia="zh-CN"/>
              </w:rPr>
            </w:pPr>
          </w:p>
        </w:tc>
        <w:tc>
          <w:tcPr>
            <w:tcW w:w="1687" w:type="dxa"/>
            <w:noWrap w:val="0"/>
            <w:vAlign w:val="top"/>
          </w:tcPr>
          <w:p w14:paraId="196D5B64">
            <w:pPr>
              <w:pStyle w:val="9"/>
              <w:widowControl w:val="0"/>
              <w:jc w:val="center"/>
              <w:rPr>
                <w:rFonts w:hint="eastAsia" w:ascii="仿宋_GB2312" w:hAnsi="仿宋_GB2312" w:eastAsia="仿宋_GB2312" w:cs="仿宋_GB2312"/>
                <w:b/>
                <w:sz w:val="56"/>
                <w:szCs w:val="40"/>
                <w:vertAlign w:val="baseline"/>
                <w:lang w:val="en-US" w:eastAsia="zh-CN"/>
              </w:rPr>
            </w:pPr>
          </w:p>
        </w:tc>
        <w:tc>
          <w:tcPr>
            <w:tcW w:w="2360" w:type="dxa"/>
            <w:noWrap w:val="0"/>
            <w:vAlign w:val="top"/>
          </w:tcPr>
          <w:p w14:paraId="6968A4D6">
            <w:pPr>
              <w:pStyle w:val="9"/>
              <w:widowControl w:val="0"/>
              <w:jc w:val="center"/>
              <w:rPr>
                <w:rFonts w:hint="eastAsia" w:ascii="仿宋_GB2312" w:hAnsi="仿宋_GB2312" w:eastAsia="仿宋_GB2312" w:cs="仿宋_GB2312"/>
                <w:b/>
                <w:sz w:val="56"/>
                <w:szCs w:val="40"/>
                <w:vertAlign w:val="baseline"/>
                <w:lang w:val="en-US" w:eastAsia="zh-CN"/>
              </w:rPr>
            </w:pPr>
          </w:p>
        </w:tc>
        <w:tc>
          <w:tcPr>
            <w:tcW w:w="3410" w:type="dxa"/>
            <w:noWrap w:val="0"/>
            <w:vAlign w:val="center"/>
          </w:tcPr>
          <w:p w14:paraId="7761DF0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default" w:ascii="Times New Roman" w:hAnsi="Times New Roman" w:cs="Times New Roman"/>
                <w:b/>
                <w:bCs/>
                <w:lang w:val="en-US" w:eastAsia="zh-CN"/>
              </w:rPr>
            </w:pPr>
          </w:p>
        </w:tc>
      </w:tr>
      <w:tr w14:paraId="5905C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14:paraId="0C39FA45">
            <w:pPr>
              <w:pStyle w:val="9"/>
              <w:widowControl w:val="0"/>
              <w:jc w:val="center"/>
              <w:rPr>
                <w:rFonts w:hint="eastAsia" w:ascii="仿宋_GB2312" w:hAnsi="仿宋_GB2312" w:eastAsia="仿宋_GB2312" w:cs="仿宋_GB2312"/>
                <w:b/>
                <w:sz w:val="56"/>
                <w:szCs w:val="40"/>
                <w:vertAlign w:val="baseline"/>
                <w:lang w:val="en-US" w:eastAsia="zh-CN"/>
              </w:rPr>
            </w:pPr>
          </w:p>
        </w:tc>
        <w:tc>
          <w:tcPr>
            <w:tcW w:w="1687" w:type="dxa"/>
            <w:noWrap w:val="0"/>
            <w:vAlign w:val="top"/>
          </w:tcPr>
          <w:p w14:paraId="4AA17465">
            <w:pPr>
              <w:pStyle w:val="9"/>
              <w:widowControl w:val="0"/>
              <w:jc w:val="center"/>
              <w:rPr>
                <w:rFonts w:hint="eastAsia" w:ascii="仿宋_GB2312" w:hAnsi="仿宋_GB2312" w:eastAsia="仿宋_GB2312" w:cs="仿宋_GB2312"/>
                <w:b/>
                <w:sz w:val="56"/>
                <w:szCs w:val="40"/>
                <w:vertAlign w:val="baseline"/>
                <w:lang w:val="en-US" w:eastAsia="zh-CN"/>
              </w:rPr>
            </w:pPr>
          </w:p>
        </w:tc>
        <w:tc>
          <w:tcPr>
            <w:tcW w:w="2360" w:type="dxa"/>
            <w:noWrap w:val="0"/>
            <w:vAlign w:val="top"/>
          </w:tcPr>
          <w:p w14:paraId="4D3016C2">
            <w:pPr>
              <w:pStyle w:val="9"/>
              <w:widowControl w:val="0"/>
              <w:jc w:val="center"/>
              <w:rPr>
                <w:rFonts w:hint="eastAsia" w:ascii="仿宋_GB2312" w:hAnsi="仿宋_GB2312" w:eastAsia="仿宋_GB2312" w:cs="仿宋_GB2312"/>
                <w:b/>
                <w:sz w:val="56"/>
                <w:szCs w:val="40"/>
                <w:vertAlign w:val="baseline"/>
                <w:lang w:val="en-US" w:eastAsia="zh-CN"/>
              </w:rPr>
            </w:pPr>
          </w:p>
        </w:tc>
        <w:tc>
          <w:tcPr>
            <w:tcW w:w="3410" w:type="dxa"/>
            <w:noWrap w:val="0"/>
            <w:vAlign w:val="center"/>
          </w:tcPr>
          <w:p w14:paraId="5E9F4430">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Times New Roman" w:hAnsi="Times New Roman" w:cs="Times New Roman"/>
                <w:b/>
                <w:bCs/>
                <w:lang w:val="en-US" w:eastAsia="zh-CN"/>
              </w:rPr>
            </w:pPr>
          </w:p>
        </w:tc>
      </w:tr>
      <w:tr w14:paraId="507F2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14:paraId="6AB1D122">
            <w:pPr>
              <w:pStyle w:val="9"/>
              <w:widowControl w:val="0"/>
              <w:jc w:val="center"/>
              <w:rPr>
                <w:rFonts w:hint="eastAsia" w:ascii="仿宋_GB2312" w:hAnsi="仿宋_GB2312" w:eastAsia="仿宋_GB2312" w:cs="仿宋_GB2312"/>
                <w:b/>
                <w:sz w:val="56"/>
                <w:szCs w:val="40"/>
                <w:vertAlign w:val="baseline"/>
                <w:lang w:val="en-US" w:eastAsia="zh-CN"/>
              </w:rPr>
            </w:pPr>
          </w:p>
        </w:tc>
        <w:tc>
          <w:tcPr>
            <w:tcW w:w="1687" w:type="dxa"/>
            <w:noWrap w:val="0"/>
            <w:vAlign w:val="top"/>
          </w:tcPr>
          <w:p w14:paraId="0AD66C30">
            <w:pPr>
              <w:pStyle w:val="9"/>
              <w:widowControl w:val="0"/>
              <w:jc w:val="center"/>
              <w:rPr>
                <w:rFonts w:hint="eastAsia" w:ascii="仿宋_GB2312" w:hAnsi="仿宋_GB2312" w:eastAsia="仿宋_GB2312" w:cs="仿宋_GB2312"/>
                <w:b/>
                <w:sz w:val="56"/>
                <w:szCs w:val="40"/>
                <w:vertAlign w:val="baseline"/>
                <w:lang w:val="en-US" w:eastAsia="zh-CN"/>
              </w:rPr>
            </w:pPr>
          </w:p>
        </w:tc>
        <w:tc>
          <w:tcPr>
            <w:tcW w:w="2360" w:type="dxa"/>
            <w:noWrap w:val="0"/>
            <w:vAlign w:val="top"/>
          </w:tcPr>
          <w:p w14:paraId="0778DB05">
            <w:pPr>
              <w:pStyle w:val="9"/>
              <w:widowControl w:val="0"/>
              <w:jc w:val="center"/>
              <w:rPr>
                <w:rFonts w:hint="eastAsia" w:ascii="仿宋_GB2312" w:hAnsi="仿宋_GB2312" w:eastAsia="仿宋_GB2312" w:cs="仿宋_GB2312"/>
                <w:b/>
                <w:sz w:val="56"/>
                <w:szCs w:val="40"/>
                <w:vertAlign w:val="baseline"/>
                <w:lang w:val="en-US" w:eastAsia="zh-CN"/>
              </w:rPr>
            </w:pPr>
          </w:p>
        </w:tc>
        <w:tc>
          <w:tcPr>
            <w:tcW w:w="3410" w:type="dxa"/>
            <w:noWrap w:val="0"/>
            <w:vAlign w:val="center"/>
          </w:tcPr>
          <w:p w14:paraId="7BAE0452">
            <w:pPr>
              <w:keepNext w:val="0"/>
              <w:keepLines w:val="0"/>
              <w:pageBreakBefore w:val="0"/>
              <w:widowControl w:val="0"/>
              <w:kinsoku/>
              <w:wordWrap/>
              <w:overflowPunct/>
              <w:topLinePunct w:val="0"/>
              <w:autoSpaceDE w:val="0"/>
              <w:autoSpaceDN w:val="0"/>
              <w:bidi w:val="0"/>
              <w:adjustRightInd/>
              <w:snapToGrid/>
              <w:spacing w:line="360" w:lineRule="exact"/>
              <w:ind w:firstLine="0" w:firstLineChars="0"/>
              <w:jc w:val="center"/>
              <w:textAlignment w:val="auto"/>
              <w:rPr>
                <w:rFonts w:hint="eastAsia" w:ascii="Times New Roman" w:hAnsi="Times New Roman" w:cs="Times New Roman"/>
                <w:b/>
                <w:bCs/>
                <w:lang w:val="en-US" w:eastAsia="zh-CN"/>
              </w:rPr>
            </w:pPr>
          </w:p>
        </w:tc>
      </w:tr>
    </w:tbl>
    <w:p w14:paraId="3E9EABE9">
      <w:pPr>
        <w:pStyle w:val="4"/>
        <w:bidi w:val="0"/>
        <w:rPr>
          <w:rFonts w:hint="eastAsia"/>
          <w:lang w:val="en-US" w:eastAsia="zh-CN"/>
        </w:rPr>
      </w:pPr>
      <w:r>
        <w:rPr>
          <w:rFonts w:hint="eastAsia"/>
          <w:lang w:val="en-US" w:eastAsia="zh-CN"/>
        </w:rPr>
        <w:t>五、保密要求</w:t>
      </w:r>
    </w:p>
    <w:p w14:paraId="20F38934">
      <w:pPr>
        <w:bidi w:val="0"/>
        <w:rPr>
          <w:rFonts w:hint="default"/>
          <w:lang w:val="en-US" w:eastAsia="zh-CN"/>
        </w:rPr>
      </w:pPr>
      <w:r>
        <w:rPr>
          <w:rFonts w:hint="default"/>
          <w:lang w:val="en-US" w:eastAsia="zh-CN"/>
        </w:rPr>
        <w:t>乙方为甲方提供服务过程中，由于工作需要从甲方获得或接触到的业务数据、连接方式及登录信息、以及工作过程中产生的各类具有保密要求的资料文档，无论以何种形式或载于何种载体，无论在披露时是否以口头、图像或以书面方式，均属于保密信息范围。乙方应切实做好保密工作，具体要求详见附件</w:t>
      </w:r>
      <w:r>
        <w:rPr>
          <w:rFonts w:hint="eastAsia"/>
          <w:lang w:val="en-US" w:eastAsia="zh-CN"/>
        </w:rPr>
        <w:t>1</w:t>
      </w:r>
      <w:r>
        <w:rPr>
          <w:rFonts w:hint="default"/>
          <w:lang w:val="en-US" w:eastAsia="zh-CN"/>
        </w:rPr>
        <w:t>。</w:t>
      </w:r>
    </w:p>
    <w:p w14:paraId="4D3E4A4F">
      <w:pPr>
        <w:pStyle w:val="4"/>
        <w:numPr>
          <w:ilvl w:val="0"/>
          <w:numId w:val="1"/>
        </w:numPr>
        <w:bidi w:val="0"/>
        <w:rPr>
          <w:rFonts w:hint="eastAsia"/>
          <w:lang w:val="en-US" w:eastAsia="zh-CN"/>
        </w:rPr>
      </w:pPr>
      <w:r>
        <w:rPr>
          <w:rFonts w:hint="eastAsia"/>
          <w:lang w:val="en-US" w:eastAsia="zh-CN"/>
        </w:rPr>
        <w:t>甲方的权利和义务</w:t>
      </w:r>
    </w:p>
    <w:p w14:paraId="3E7BC845">
      <w:pPr>
        <w:numPr>
          <w:ilvl w:val="0"/>
          <w:numId w:val="2"/>
        </w:numPr>
        <w:bidi w:val="0"/>
        <w:rPr>
          <w:rFonts w:hint="eastAsia"/>
          <w:b/>
          <w:bCs/>
          <w:lang w:val="en-US" w:eastAsia="zh-CN"/>
        </w:rPr>
      </w:pPr>
      <w:r>
        <w:rPr>
          <w:rFonts w:hint="eastAsia"/>
          <w:b/>
          <w:bCs/>
          <w:lang w:val="en-US" w:eastAsia="zh-CN"/>
        </w:rPr>
        <w:t xml:space="preserve">甲方的权利 </w:t>
      </w:r>
    </w:p>
    <w:p w14:paraId="67013674">
      <w:pPr>
        <w:bidi w:val="0"/>
        <w:rPr>
          <w:rFonts w:hint="eastAsia"/>
          <w:lang w:val="en-US" w:eastAsia="zh-CN"/>
        </w:rPr>
      </w:pPr>
      <w:r>
        <w:rPr>
          <w:rFonts w:hint="eastAsia"/>
          <w:lang w:val="en-US" w:eastAsia="zh-CN"/>
        </w:rPr>
        <w:t xml:space="preserve">1.有权要求乙方按照合同约定提供系统维护服务，并定期检查服务质量。  </w:t>
      </w:r>
    </w:p>
    <w:p w14:paraId="2D32E11F">
      <w:pPr>
        <w:bidi w:val="0"/>
        <w:rPr>
          <w:rFonts w:hint="eastAsia"/>
          <w:lang w:val="en-US" w:eastAsia="zh-CN"/>
        </w:rPr>
      </w:pPr>
      <w:r>
        <w:rPr>
          <w:rFonts w:hint="eastAsia"/>
          <w:lang w:val="en-US" w:eastAsia="zh-CN"/>
        </w:rPr>
        <w:t>2.可对乙方的工作进度、响应时间、故障修复效果等进行监督，提出合理改进要求。</w:t>
      </w:r>
    </w:p>
    <w:p w14:paraId="0EC1A0D5">
      <w:pPr>
        <w:bidi w:val="0"/>
        <w:rPr>
          <w:rFonts w:hint="eastAsia"/>
          <w:lang w:val="en-US" w:eastAsia="zh-CN"/>
        </w:rPr>
      </w:pPr>
      <w:r>
        <w:rPr>
          <w:rFonts w:hint="eastAsia"/>
          <w:lang w:val="en-US" w:eastAsia="zh-CN"/>
        </w:rPr>
        <w:t xml:space="preserve">3.对乙方完成的维护工作（如升级、故障修复等）进行验收，确认是否符合合同标准。  </w:t>
      </w:r>
    </w:p>
    <w:p w14:paraId="793B47DD">
      <w:pPr>
        <w:bidi w:val="0"/>
        <w:rPr>
          <w:rFonts w:hint="eastAsia"/>
          <w:lang w:val="en-US" w:eastAsia="zh-CN"/>
        </w:rPr>
      </w:pPr>
      <w:r>
        <w:rPr>
          <w:rFonts w:hint="eastAsia"/>
          <w:lang w:val="en-US" w:eastAsia="zh-CN"/>
        </w:rPr>
        <w:t>4.根据合同约定，对乙方服务进行定期考核（达标率），并依据考核结果调整费用或终止合同。</w:t>
      </w:r>
    </w:p>
    <w:p w14:paraId="419D9088">
      <w:pPr>
        <w:bidi w:val="0"/>
        <w:rPr>
          <w:rFonts w:hint="eastAsia"/>
          <w:lang w:val="en-US" w:eastAsia="zh-CN"/>
        </w:rPr>
      </w:pPr>
      <w:r>
        <w:rPr>
          <w:rFonts w:hint="eastAsia"/>
          <w:lang w:val="en-US" w:eastAsia="zh-CN"/>
        </w:rPr>
        <w:t xml:space="preserve">5.有权要求乙方采取必要措施保障甲方系统、数据的安全性和保密性。  </w:t>
      </w:r>
    </w:p>
    <w:p w14:paraId="64F6295F">
      <w:pPr>
        <w:bidi w:val="0"/>
        <w:rPr>
          <w:rFonts w:hint="eastAsia"/>
          <w:lang w:val="en-US" w:eastAsia="zh-CN"/>
        </w:rPr>
      </w:pPr>
      <w:r>
        <w:rPr>
          <w:rFonts w:hint="eastAsia"/>
          <w:lang w:val="en-US" w:eastAsia="zh-CN"/>
        </w:rPr>
        <w:t>6.若乙方操作导致数据泄露或系统损坏，甲方有权追究责任并要求赔偿。</w:t>
      </w:r>
    </w:p>
    <w:p w14:paraId="0B34270F">
      <w:pPr>
        <w:bidi w:val="0"/>
        <w:rPr>
          <w:rFonts w:hint="eastAsia"/>
          <w:lang w:val="en-US" w:eastAsia="zh-CN"/>
        </w:rPr>
      </w:pPr>
      <w:r>
        <w:rPr>
          <w:rFonts w:hint="eastAsia"/>
          <w:lang w:val="en-US" w:eastAsia="zh-CN"/>
        </w:rPr>
        <w:t xml:space="preserve">7.在系统出现重大故障时，有权要求乙方优先处理，或自行采取应急措施（相关费用由乙方承担）。  </w:t>
      </w:r>
    </w:p>
    <w:p w14:paraId="58DCB536">
      <w:pPr>
        <w:bidi w:val="0"/>
        <w:rPr>
          <w:rFonts w:hint="eastAsia"/>
          <w:lang w:val="en-US" w:eastAsia="zh-CN"/>
        </w:rPr>
      </w:pPr>
      <w:r>
        <w:rPr>
          <w:rFonts w:hint="eastAsia"/>
          <w:lang w:val="en-US" w:eastAsia="zh-CN"/>
        </w:rPr>
        <w:t>8.因业务需要或乙方严重违约时，甲方可协商变更服务范围或终止合同。</w:t>
      </w:r>
    </w:p>
    <w:p w14:paraId="0966E472">
      <w:pPr>
        <w:bidi w:val="0"/>
        <w:rPr>
          <w:rFonts w:hint="eastAsia"/>
          <w:lang w:val="en-US" w:eastAsia="zh-CN"/>
        </w:rPr>
      </w:pPr>
      <w:r>
        <w:rPr>
          <w:rFonts w:hint="eastAsia"/>
          <w:lang w:val="en-US" w:eastAsia="zh-CN"/>
        </w:rPr>
        <w:t>（2）甲方的义务</w:t>
      </w:r>
    </w:p>
    <w:p w14:paraId="029499DD">
      <w:pPr>
        <w:bidi w:val="0"/>
        <w:rPr>
          <w:rFonts w:hint="eastAsia"/>
          <w:lang w:val="en-US" w:eastAsia="zh-CN"/>
        </w:rPr>
      </w:pPr>
      <w:r>
        <w:rPr>
          <w:rFonts w:hint="eastAsia"/>
          <w:lang w:val="en-US" w:eastAsia="zh-CN"/>
        </w:rPr>
        <w:t>1.按合同约定及时支付维护费用，不得无故拖欠。</w:t>
      </w:r>
    </w:p>
    <w:p w14:paraId="0B25727B">
      <w:pPr>
        <w:bidi w:val="0"/>
        <w:rPr>
          <w:rFonts w:hint="eastAsia"/>
          <w:lang w:val="en-US" w:eastAsia="zh-CN"/>
        </w:rPr>
      </w:pPr>
      <w:r>
        <w:rPr>
          <w:rFonts w:hint="eastAsia"/>
          <w:lang w:val="en-US" w:eastAsia="zh-CN"/>
        </w:rPr>
        <w:t xml:space="preserve">2.为乙方维护工作提供便利条件（包括但不限于工作场所、通信设施、厅内各处室工作协调、设备技术资料、各类平台系统访问权限、测试环境、必要文档等）。  </w:t>
      </w:r>
    </w:p>
    <w:p w14:paraId="11C1E157">
      <w:pPr>
        <w:bidi w:val="0"/>
        <w:rPr>
          <w:rFonts w:hint="eastAsia"/>
          <w:lang w:val="en-US" w:eastAsia="zh-CN"/>
        </w:rPr>
      </w:pPr>
      <w:r>
        <w:rPr>
          <w:rFonts w:hint="eastAsia"/>
          <w:lang w:val="en-US" w:eastAsia="zh-CN"/>
        </w:rPr>
        <w:t>3.配合乙方进行故障排查，提供相关日志或数据（非乙方原因导致故障时）。</w:t>
      </w:r>
    </w:p>
    <w:p w14:paraId="5F16271F">
      <w:pPr>
        <w:bidi w:val="0"/>
        <w:rPr>
          <w:rFonts w:hint="eastAsia"/>
          <w:lang w:val="en-US" w:eastAsia="zh-CN"/>
        </w:rPr>
      </w:pPr>
      <w:r>
        <w:rPr>
          <w:rFonts w:hint="eastAsia"/>
          <w:lang w:val="en-US" w:eastAsia="zh-CN"/>
        </w:rPr>
        <w:t>4.发现系统异常时，需按约定流程及时通知乙方，并提供详细信息。</w:t>
      </w:r>
    </w:p>
    <w:p w14:paraId="4BA92BD1">
      <w:pPr>
        <w:bidi w:val="0"/>
        <w:rPr>
          <w:rFonts w:hint="eastAsia"/>
          <w:lang w:val="en-US" w:eastAsia="zh-CN"/>
        </w:rPr>
      </w:pPr>
      <w:r>
        <w:rPr>
          <w:rFonts w:hint="eastAsia"/>
          <w:lang w:val="en-US" w:eastAsia="zh-CN"/>
        </w:rPr>
        <w:t xml:space="preserve">5.未经乙方同意，不得擅自修改系统核心配置或代码，避免人为导致故障。  </w:t>
      </w:r>
    </w:p>
    <w:p w14:paraId="7E68019E">
      <w:pPr>
        <w:bidi w:val="0"/>
        <w:rPr>
          <w:rFonts w:hint="eastAsia"/>
          <w:lang w:val="en-US" w:eastAsia="zh-CN"/>
        </w:rPr>
      </w:pPr>
      <w:r>
        <w:rPr>
          <w:rFonts w:hint="eastAsia"/>
          <w:lang w:val="en-US" w:eastAsia="zh-CN"/>
        </w:rPr>
        <w:t>6.若甲方自行操作引发问题，需承担相应责任。</w:t>
      </w:r>
    </w:p>
    <w:p w14:paraId="5A38A6BE">
      <w:pPr>
        <w:bidi w:val="0"/>
        <w:rPr>
          <w:rFonts w:hint="eastAsia"/>
          <w:lang w:val="en-US" w:eastAsia="zh-CN"/>
        </w:rPr>
      </w:pPr>
      <w:r>
        <w:rPr>
          <w:rFonts w:hint="eastAsia"/>
          <w:lang w:val="en-US" w:eastAsia="zh-CN"/>
        </w:rPr>
        <w:t>7.对乙方提供的技术资料、工具等保密，不得泄露给第三方。</w:t>
      </w:r>
    </w:p>
    <w:p w14:paraId="6A3FA886">
      <w:pPr>
        <w:pStyle w:val="4"/>
        <w:numPr>
          <w:ilvl w:val="0"/>
          <w:numId w:val="1"/>
        </w:numPr>
        <w:bidi w:val="0"/>
        <w:rPr>
          <w:rFonts w:hint="default"/>
          <w:lang w:val="en-US" w:eastAsia="zh-CN"/>
        </w:rPr>
      </w:pPr>
      <w:r>
        <w:rPr>
          <w:rFonts w:hint="eastAsia"/>
          <w:lang w:val="en-US" w:eastAsia="zh-CN"/>
        </w:rPr>
        <w:t>乙方的权利和义务</w:t>
      </w:r>
    </w:p>
    <w:p w14:paraId="19EEAEFA">
      <w:pPr>
        <w:numPr>
          <w:ilvl w:val="0"/>
          <w:numId w:val="3"/>
        </w:numPr>
        <w:bidi w:val="0"/>
        <w:rPr>
          <w:rFonts w:hint="eastAsia"/>
          <w:b/>
          <w:bCs/>
          <w:lang w:val="en-US" w:eastAsia="zh-CN"/>
        </w:rPr>
      </w:pPr>
      <w:r>
        <w:rPr>
          <w:rFonts w:hint="eastAsia"/>
          <w:b/>
          <w:bCs/>
          <w:lang w:val="en-US" w:eastAsia="zh-CN"/>
        </w:rPr>
        <w:t>乙方的权利</w:t>
      </w:r>
    </w:p>
    <w:p w14:paraId="05F51EC8">
      <w:pPr>
        <w:bidi w:val="0"/>
        <w:rPr>
          <w:rFonts w:hint="eastAsia"/>
          <w:lang w:val="en-US" w:eastAsia="zh-CN"/>
        </w:rPr>
      </w:pPr>
      <w:r>
        <w:rPr>
          <w:rFonts w:hint="eastAsia"/>
          <w:lang w:val="en-US" w:eastAsia="zh-CN"/>
        </w:rPr>
        <w:t xml:space="preserve">1.有权要求甲方提供系统访问权限、技术文档、测试环境等必要支持，以便履行维护职责。  </w:t>
      </w:r>
    </w:p>
    <w:p w14:paraId="78C845E9">
      <w:pPr>
        <w:bidi w:val="0"/>
        <w:rPr>
          <w:rFonts w:hint="eastAsia"/>
          <w:lang w:val="en-US" w:eastAsia="zh-CN"/>
        </w:rPr>
      </w:pPr>
      <w:r>
        <w:rPr>
          <w:rFonts w:hint="eastAsia"/>
          <w:lang w:val="en-US" w:eastAsia="zh-CN"/>
        </w:rPr>
        <w:t xml:space="preserve">2.按合同约定收取维护费用，若甲方无故拖欠，乙方有权暂停服务或终止合同（需提前书面通知）。  </w:t>
      </w:r>
    </w:p>
    <w:p w14:paraId="587CA480">
      <w:pPr>
        <w:bidi w:val="0"/>
        <w:rPr>
          <w:rFonts w:hint="eastAsia"/>
          <w:lang w:val="en-US" w:eastAsia="zh-CN"/>
        </w:rPr>
      </w:pPr>
      <w:r>
        <w:rPr>
          <w:rFonts w:hint="eastAsia"/>
          <w:lang w:val="en-US" w:eastAsia="zh-CN"/>
        </w:rPr>
        <w:t xml:space="preserve">3.拒绝甲方超出合同范围的运维需求（如免费开发新功能）。  </w:t>
      </w:r>
    </w:p>
    <w:p w14:paraId="4AE6A131">
      <w:pPr>
        <w:bidi w:val="0"/>
        <w:rPr>
          <w:rFonts w:hint="eastAsia"/>
          <w:lang w:val="en-US" w:eastAsia="zh-CN"/>
        </w:rPr>
      </w:pPr>
      <w:r>
        <w:rPr>
          <w:rFonts w:hint="eastAsia"/>
          <w:lang w:val="en-US" w:eastAsia="zh-CN"/>
        </w:rPr>
        <w:t>4.对乙方提供的专属工具、技术方案等保留知识产权，甲方不得擅自复制或转让给第三方。</w:t>
      </w:r>
    </w:p>
    <w:p w14:paraId="317E1F7D">
      <w:pPr>
        <w:bidi w:val="0"/>
        <w:rPr>
          <w:rFonts w:hint="eastAsia"/>
          <w:lang w:val="en-US" w:eastAsia="zh-CN"/>
        </w:rPr>
      </w:pPr>
      <w:r>
        <w:rPr>
          <w:rFonts w:hint="eastAsia"/>
          <w:lang w:val="en-US" w:eastAsia="zh-CN"/>
        </w:rPr>
        <w:t>5.因甲方操作失误、硬件故障或不可抗力（如自然灾害）导致的问题，乙方不承担责任。</w:t>
      </w:r>
    </w:p>
    <w:p w14:paraId="54AC51E7">
      <w:pPr>
        <w:bidi w:val="0"/>
        <w:rPr>
          <w:rFonts w:hint="eastAsia"/>
          <w:b/>
          <w:bCs/>
          <w:lang w:val="en-US" w:eastAsia="zh-CN"/>
        </w:rPr>
      </w:pPr>
      <w:r>
        <w:rPr>
          <w:rFonts w:hint="eastAsia"/>
          <w:b/>
          <w:bCs/>
          <w:lang w:val="en-US" w:eastAsia="zh-CN"/>
        </w:rPr>
        <w:t>（2）乙方的义务</w:t>
      </w:r>
    </w:p>
    <w:p w14:paraId="3E50A4B8">
      <w:pPr>
        <w:bidi w:val="0"/>
        <w:rPr>
          <w:rFonts w:hint="eastAsia"/>
          <w:lang w:val="en-US" w:eastAsia="zh-CN"/>
        </w:rPr>
      </w:pPr>
      <w:r>
        <w:rPr>
          <w:rFonts w:hint="eastAsia"/>
          <w:lang w:val="en-US" w:eastAsia="zh-CN"/>
        </w:rPr>
        <w:t>1.运维服务时效要求</w:t>
      </w:r>
    </w:p>
    <w:p w14:paraId="377907FF">
      <w:pPr>
        <w:bidi w:val="0"/>
        <w:rPr>
          <w:rFonts w:hint="eastAsia"/>
          <w:lang w:val="en-US" w:eastAsia="zh-CN"/>
        </w:rPr>
      </w:pPr>
      <w:r>
        <w:rPr>
          <w:rFonts w:hint="eastAsia"/>
          <w:lang w:val="en-US" w:eastAsia="zh-CN"/>
        </w:rPr>
        <w:t xml:space="preserve">响应时间：30分钟内响应故障 </w:t>
      </w:r>
    </w:p>
    <w:p w14:paraId="6BB5F8D2">
      <w:pPr>
        <w:bidi w:val="0"/>
        <w:rPr>
          <w:rFonts w:hint="eastAsia"/>
          <w:lang w:val="en-US" w:eastAsia="zh-CN"/>
        </w:rPr>
      </w:pPr>
      <w:r>
        <w:rPr>
          <w:rFonts w:hint="eastAsia"/>
          <w:lang w:val="en-US" w:eastAsia="zh-CN"/>
        </w:rPr>
        <w:t>修复时间：2小时内解决一般故障</w:t>
      </w:r>
    </w:p>
    <w:p w14:paraId="179E1A6C">
      <w:pPr>
        <w:bidi w:val="0"/>
        <w:rPr>
          <w:rFonts w:hint="eastAsia"/>
          <w:lang w:val="en-US" w:eastAsia="zh-CN"/>
        </w:rPr>
      </w:pPr>
      <w:r>
        <w:rPr>
          <w:rFonts w:hint="eastAsia"/>
          <w:lang w:val="en-US" w:eastAsia="zh-CN"/>
        </w:rPr>
        <w:t xml:space="preserve">系统可用性：全年≥99.9%  </w:t>
      </w:r>
    </w:p>
    <w:p w14:paraId="5C758305">
      <w:pPr>
        <w:bidi w:val="0"/>
        <w:rPr>
          <w:rFonts w:hint="eastAsia"/>
          <w:lang w:val="en-US" w:eastAsia="zh-CN"/>
        </w:rPr>
      </w:pPr>
      <w:r>
        <w:rPr>
          <w:rFonts w:hint="eastAsia"/>
          <w:lang w:val="en-US" w:eastAsia="zh-CN"/>
        </w:rPr>
        <w:t>2.定期向甲方提交服务报告（包括但不限于含故障记录、巡检记录、达标率等）。</w:t>
      </w:r>
    </w:p>
    <w:p w14:paraId="7639E2B7">
      <w:pPr>
        <w:bidi w:val="0"/>
        <w:rPr>
          <w:rFonts w:hint="eastAsia"/>
          <w:lang w:val="en-US" w:eastAsia="zh-CN"/>
        </w:rPr>
      </w:pPr>
      <w:r>
        <w:rPr>
          <w:rFonts w:hint="eastAsia"/>
          <w:lang w:val="en-US" w:eastAsia="zh-CN"/>
        </w:rPr>
        <w:t xml:space="preserve">3.采取技术措施（如防火墙、加密）防止系统被攻击或数据泄露。  </w:t>
      </w:r>
    </w:p>
    <w:p w14:paraId="6D958CA4">
      <w:pPr>
        <w:bidi w:val="0"/>
        <w:rPr>
          <w:rFonts w:hint="eastAsia"/>
          <w:lang w:val="en-US" w:eastAsia="zh-CN"/>
        </w:rPr>
      </w:pPr>
      <w:r>
        <w:rPr>
          <w:rFonts w:hint="eastAsia"/>
          <w:lang w:val="en-US" w:eastAsia="zh-CN"/>
        </w:rPr>
        <w:t>4.未经甲方书面同意，不得将系统数据或架构透露给第三方。</w:t>
      </w:r>
    </w:p>
    <w:p w14:paraId="0D603920">
      <w:pPr>
        <w:bidi w:val="0"/>
        <w:rPr>
          <w:rFonts w:hint="eastAsia"/>
          <w:lang w:val="en-US" w:eastAsia="zh-CN"/>
        </w:rPr>
      </w:pPr>
      <w:r>
        <w:rPr>
          <w:rFonts w:hint="eastAsia"/>
          <w:lang w:val="en-US" w:eastAsia="zh-CN"/>
        </w:rPr>
        <w:t xml:space="preserve">5.对重大故障或升级维护，需提前通知甲方并协商时间窗口（如非业务高峰期）。  </w:t>
      </w:r>
    </w:p>
    <w:p w14:paraId="615AB882">
      <w:pPr>
        <w:bidi w:val="0"/>
        <w:rPr>
          <w:rFonts w:hint="eastAsia"/>
          <w:lang w:val="en-US" w:eastAsia="zh-CN"/>
        </w:rPr>
      </w:pPr>
      <w:r>
        <w:rPr>
          <w:rFonts w:hint="eastAsia"/>
          <w:lang w:val="en-US" w:eastAsia="zh-CN"/>
        </w:rPr>
        <w:t>6.定期向甲方汇报运维状态（如月度会议、年度总结）。</w:t>
      </w:r>
    </w:p>
    <w:p w14:paraId="163A905C">
      <w:pPr>
        <w:bidi w:val="0"/>
        <w:rPr>
          <w:rFonts w:hint="eastAsia"/>
          <w:lang w:val="en-US" w:eastAsia="zh-CN"/>
        </w:rPr>
      </w:pPr>
      <w:r>
        <w:rPr>
          <w:rFonts w:hint="eastAsia"/>
          <w:lang w:val="en-US" w:eastAsia="zh-CN"/>
        </w:rPr>
        <w:t xml:space="preserve">7.文档与知识转移（包括但不限于提供系统维护手册、故障处理流程等文档）。  </w:t>
      </w:r>
    </w:p>
    <w:p w14:paraId="3ACEB6F3">
      <w:pPr>
        <w:bidi w:val="0"/>
        <w:rPr>
          <w:rFonts w:hint="eastAsia"/>
          <w:lang w:val="en-US" w:eastAsia="zh-CN"/>
        </w:rPr>
      </w:pPr>
      <w:r>
        <w:rPr>
          <w:rFonts w:hint="eastAsia"/>
          <w:lang w:val="en-US" w:eastAsia="zh-CN"/>
        </w:rPr>
        <w:t>8.合同终止时，配合甲方完成工作交接（包括但不限于移交管理员权限、提交运维过程中的所有资料、技术培训等）。</w:t>
      </w:r>
    </w:p>
    <w:p w14:paraId="058C5194">
      <w:pPr>
        <w:bidi w:val="0"/>
        <w:rPr>
          <w:rFonts w:hint="eastAsia"/>
          <w:lang w:val="en-US" w:eastAsia="zh-CN"/>
        </w:rPr>
      </w:pPr>
      <w:r>
        <w:rPr>
          <w:rFonts w:hint="eastAsia"/>
          <w:lang w:val="en-US" w:eastAsia="zh-CN"/>
        </w:rPr>
        <w:t xml:space="preserve">9. 对突发严重故障，需启动应急预案并优先处理。  </w:t>
      </w:r>
    </w:p>
    <w:p w14:paraId="7D96C412">
      <w:pPr>
        <w:bidi w:val="0"/>
        <w:rPr>
          <w:rFonts w:hint="eastAsia"/>
          <w:lang w:val="en-US" w:eastAsia="zh-CN"/>
        </w:rPr>
      </w:pPr>
      <w:r>
        <w:rPr>
          <w:rFonts w:hint="eastAsia"/>
          <w:lang w:val="en-US" w:eastAsia="zh-CN"/>
        </w:rPr>
        <w:t>10.若自身资源能力受限，应协调第三方资源解决（费用由乙方承担，除非甲方要求额外服务）。</w:t>
      </w:r>
    </w:p>
    <w:p w14:paraId="2F69E436">
      <w:pPr>
        <w:bidi w:val="0"/>
        <w:rPr>
          <w:rFonts w:hint="eastAsia"/>
          <w:lang w:val="en-US" w:eastAsia="zh-CN"/>
        </w:rPr>
      </w:pPr>
      <w:r>
        <w:rPr>
          <w:rFonts w:hint="eastAsia"/>
          <w:lang w:val="en-US" w:eastAsia="zh-CN"/>
        </w:rPr>
        <w:t xml:space="preserve">11. 乙方不得将运维工作分包给第三方。  </w:t>
      </w:r>
    </w:p>
    <w:p w14:paraId="51F4E584">
      <w:pPr>
        <w:bidi w:val="0"/>
        <w:rPr>
          <w:rFonts w:hint="eastAsia"/>
          <w:lang w:val="en-US" w:eastAsia="zh-CN"/>
        </w:rPr>
      </w:pPr>
      <w:r>
        <w:rPr>
          <w:rFonts w:hint="eastAsia"/>
          <w:lang w:val="en-US" w:eastAsia="zh-CN"/>
        </w:rPr>
        <w:t>12. 因乙方操作失误导致数据丢失的，需在12小时内恢复并赔偿直接损失。</w:t>
      </w:r>
    </w:p>
    <w:p w14:paraId="15F7B95C">
      <w:pPr>
        <w:bidi w:val="0"/>
        <w:rPr>
          <w:rFonts w:hint="eastAsia"/>
          <w:lang w:val="en-US" w:eastAsia="zh-CN"/>
        </w:rPr>
      </w:pPr>
      <w:r>
        <w:rPr>
          <w:rFonts w:hint="eastAsia"/>
          <w:lang w:val="en-US" w:eastAsia="zh-CN"/>
        </w:rPr>
        <w:t>13.乙方保证所提供的产品、服务、技术或任何相关材料不侵犯任何第三方的知识产权（包括但不限于专利权、商标权、著作权等），若乙方提供的产品或服务侵犯了第三方的知识产权，乙方将承担由此引起的全部法律责任，并赔偿甲方因此遭受的所有损失。</w:t>
      </w:r>
    </w:p>
    <w:p w14:paraId="6E4E0AB6">
      <w:pPr>
        <w:bidi w:val="0"/>
        <w:rPr>
          <w:rFonts w:hint="default" w:ascii="Times New Roman" w:hAnsi="Times New Roman" w:cs="Times New Roman"/>
          <w:lang w:val="en-US" w:eastAsia="zh-CN"/>
        </w:rPr>
      </w:pPr>
      <w:r>
        <w:rPr>
          <w:rFonts w:hint="eastAsia" w:ascii="Times New Roman" w:hAnsi="Times New Roman" w:cs="Times New Roman"/>
          <w:lang w:val="en-US" w:eastAsia="zh-CN"/>
        </w:rPr>
        <w:t>14.由乙方采购的配件（备品）质保期限应满足国家强制性标准。</w:t>
      </w:r>
    </w:p>
    <w:p w14:paraId="08776885">
      <w:pPr>
        <w:pStyle w:val="4"/>
        <w:bidi w:val="0"/>
        <w:rPr>
          <w:rFonts w:hint="default"/>
          <w:lang w:val="en-US" w:eastAsia="zh-CN"/>
        </w:rPr>
      </w:pPr>
      <w:r>
        <w:rPr>
          <w:rFonts w:hint="eastAsia"/>
          <w:lang w:val="en-US" w:eastAsia="zh-CN"/>
        </w:rPr>
        <w:t>八、不可抗力</w:t>
      </w:r>
    </w:p>
    <w:p w14:paraId="00BC2376">
      <w:pPr>
        <w:bidi w:val="0"/>
        <w:rPr>
          <w:rFonts w:hint="eastAsia"/>
          <w:lang w:val="en-US" w:eastAsia="zh-CN"/>
        </w:rPr>
      </w:pPr>
      <w:r>
        <w:rPr>
          <w:rFonts w:hint="eastAsia"/>
          <w:lang w:val="en-US" w:eastAsia="zh-CN"/>
        </w:rPr>
        <w:t>1.如果本合同任何一方因受不可抗力事件影响而未能履行其在本合同下的全部或部分义务，该义务的履行在不可抗力事件妨碍其履行期间应予中止。</w:t>
      </w:r>
    </w:p>
    <w:p w14:paraId="4B9D1D0A">
      <w:pPr>
        <w:bidi w:val="0"/>
        <w:rPr>
          <w:rFonts w:hint="eastAsia"/>
          <w:lang w:val="en-US" w:eastAsia="zh-CN"/>
        </w:rPr>
      </w:pPr>
      <w:r>
        <w:rPr>
          <w:rFonts w:hint="eastAsia"/>
          <w:lang w:val="en-US" w:eastAsia="zh-CN"/>
        </w:rPr>
        <w:t>2.声称受到不可抗力事件影响的一方应在十日内将不可抗力事件的发生通知另一方，并提供关于此种不可抗力事件及其持续时间的适当证据及合同不能履行或者需要延期履行的书面资料。声称不可抗力事件导致其对本合同的履行在客观上成为不可能或不实际的一方,有责任尽一切合理的努力消除或减轻此等不可抗力事件的影响。</w:t>
      </w:r>
    </w:p>
    <w:p w14:paraId="2D03CEB8">
      <w:pPr>
        <w:bidi w:val="0"/>
        <w:rPr>
          <w:rFonts w:hint="eastAsia"/>
          <w:lang w:val="en-US" w:eastAsia="zh-CN"/>
        </w:rPr>
      </w:pPr>
      <w:r>
        <w:rPr>
          <w:rFonts w:hint="eastAsia"/>
          <w:lang w:val="en-US" w:eastAsia="zh-CN"/>
        </w:rPr>
        <w:t>3.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当事人迟延履行后发生不可抗力的，不能免除责任</w:t>
      </w:r>
    </w:p>
    <w:p w14:paraId="4F02643A">
      <w:pPr>
        <w:bidi w:val="0"/>
        <w:rPr>
          <w:rFonts w:hint="eastAsia"/>
          <w:lang w:val="en-US" w:eastAsia="zh-CN"/>
        </w:rPr>
      </w:pPr>
      <w:r>
        <w:rPr>
          <w:rFonts w:hint="eastAsia"/>
          <w:lang w:val="en-US" w:eastAsia="zh-CN"/>
        </w:rPr>
        <w:t>4.本合同所称“不可抗力”是指受影响一方不能合理控制的，无法预料或即使可预料到也不可避免且无法克服，并于本合同签订日之后出现的，使该方对本合同全部或部分的履行在客观上成为不可能或不实际的任何事件。此等事件包括但不限于自然灾害如水灾、火灾、旱灾、台风、地震，以及社会事件如战争(不论曾否宣战)、动乱、罢工，政府行为或法律规定等。</w:t>
      </w:r>
    </w:p>
    <w:p w14:paraId="418A8990">
      <w:pPr>
        <w:pStyle w:val="4"/>
        <w:bidi w:val="0"/>
        <w:rPr>
          <w:rFonts w:hint="eastAsia"/>
          <w:lang w:val="en-US" w:eastAsia="zh-CN"/>
        </w:rPr>
      </w:pPr>
      <w:r>
        <w:rPr>
          <w:rFonts w:hint="eastAsia"/>
          <w:lang w:val="en-US" w:eastAsia="zh-CN"/>
        </w:rPr>
        <w:t>九、验收</w:t>
      </w:r>
    </w:p>
    <w:p w14:paraId="241118A1">
      <w:pPr>
        <w:bidi w:val="0"/>
        <w:rPr>
          <w:rFonts w:hint="eastAsia"/>
          <w:lang w:val="en-US" w:eastAsia="zh-CN"/>
        </w:rPr>
      </w:pPr>
      <w:r>
        <w:rPr>
          <w:rFonts w:hint="eastAsia"/>
          <w:lang w:val="en-US" w:eastAsia="zh-CN"/>
        </w:rPr>
        <w:t>1.运维服务期结束后，乙方向甲方提出验收申请，甲方接到乙方验收申请后15日内组织验收(必要时可聘请相关专家或第三方检测机构协助)，验收合格后出具使用验收合格证明。</w:t>
      </w:r>
    </w:p>
    <w:p w14:paraId="2D1E6A65">
      <w:pPr>
        <w:bidi w:val="0"/>
        <w:rPr>
          <w:rFonts w:hint="eastAsia"/>
          <w:lang w:val="en-US" w:eastAsia="zh-CN"/>
        </w:rPr>
      </w:pPr>
      <w:r>
        <w:rPr>
          <w:rFonts w:hint="eastAsia"/>
          <w:lang w:val="en-US" w:eastAsia="zh-CN"/>
        </w:rPr>
        <w:t>2.验收合格后由甲方填写《政府采购项目验收单》，乙方持中标通知书、服务合同、正式发票、政府采购项目验收单，与甲方进行结算。</w:t>
      </w:r>
    </w:p>
    <w:p w14:paraId="165E6368">
      <w:pPr>
        <w:bidi w:val="0"/>
        <w:rPr>
          <w:rFonts w:hint="eastAsia"/>
          <w:lang w:val="en-US" w:eastAsia="zh-CN"/>
        </w:rPr>
      </w:pPr>
      <w:r>
        <w:rPr>
          <w:rFonts w:hint="eastAsia"/>
          <w:lang w:val="en-US" w:eastAsia="zh-CN"/>
        </w:rPr>
        <w:t>3.运维期满后由乙方出具运维服务质量报告，若存在服务质量问题，应按相应规定协商处理。</w:t>
      </w:r>
    </w:p>
    <w:p w14:paraId="69EA9A31">
      <w:pPr>
        <w:bidi w:val="0"/>
        <w:rPr>
          <w:rFonts w:hint="eastAsia"/>
          <w:lang w:val="en-US" w:eastAsia="zh-CN"/>
        </w:rPr>
      </w:pPr>
      <w:r>
        <w:rPr>
          <w:rFonts w:hint="eastAsia"/>
          <w:lang w:val="en-US" w:eastAsia="zh-CN"/>
        </w:rPr>
        <w:t>4.验收依据:</w:t>
      </w:r>
    </w:p>
    <w:p w14:paraId="14B8188B">
      <w:pPr>
        <w:bidi w:val="0"/>
        <w:rPr>
          <w:rFonts w:hint="eastAsia"/>
          <w:lang w:val="en-US" w:eastAsia="zh-CN"/>
        </w:rPr>
      </w:pPr>
      <w:r>
        <w:rPr>
          <w:rFonts w:hint="eastAsia"/>
          <w:lang w:val="en-US" w:eastAsia="zh-CN"/>
        </w:rPr>
        <w:t>1)合同文本、合同附件、合同补充协议、招标文件、投标文件。</w:t>
      </w:r>
    </w:p>
    <w:p w14:paraId="0142B72A">
      <w:pPr>
        <w:bidi w:val="0"/>
        <w:rPr>
          <w:rFonts w:hint="eastAsia"/>
          <w:lang w:val="en-US" w:eastAsia="zh-CN"/>
        </w:rPr>
      </w:pPr>
      <w:r>
        <w:rPr>
          <w:rFonts w:hint="eastAsia"/>
          <w:lang w:val="en-US" w:eastAsia="zh-CN"/>
        </w:rPr>
        <w:t>2)国内相应的标准、规范。</w:t>
      </w:r>
    </w:p>
    <w:p w14:paraId="344FEEC9">
      <w:pPr>
        <w:bidi w:val="0"/>
        <w:rPr>
          <w:rFonts w:hint="eastAsia"/>
          <w:lang w:val="en-US" w:eastAsia="zh-CN"/>
        </w:rPr>
      </w:pPr>
      <w:r>
        <w:rPr>
          <w:rFonts w:hint="eastAsia"/>
          <w:lang w:val="en-US" w:eastAsia="zh-CN"/>
        </w:rPr>
        <w:t>3)依据本合同及双方商定并签字盖章的其他附加验收。</w:t>
      </w:r>
    </w:p>
    <w:p w14:paraId="470356D2">
      <w:pPr>
        <w:pStyle w:val="4"/>
        <w:bidi w:val="0"/>
        <w:rPr>
          <w:rFonts w:hint="default"/>
          <w:lang w:val="en-US" w:eastAsia="zh-CN"/>
        </w:rPr>
      </w:pPr>
      <w:r>
        <w:rPr>
          <w:rFonts w:hint="eastAsia"/>
          <w:lang w:val="en-US" w:eastAsia="zh-CN"/>
        </w:rPr>
        <w:t>十、违约责任与争议解决</w:t>
      </w:r>
    </w:p>
    <w:p w14:paraId="2118AE08">
      <w:pPr>
        <w:bidi w:val="0"/>
        <w:rPr>
          <w:rFonts w:hint="eastAsia"/>
          <w:lang w:val="en-US" w:eastAsia="zh-CN"/>
        </w:rPr>
      </w:pPr>
      <w:r>
        <w:rPr>
          <w:rFonts w:hint="eastAsia"/>
          <w:lang w:val="en-US" w:eastAsia="zh-CN"/>
        </w:rPr>
        <w:t>1.依据《中华人民共和国民法典》、《中华人民共和国政府采购法》的相关条款和本合同约定。</w:t>
      </w:r>
    </w:p>
    <w:p w14:paraId="13CB4038">
      <w:pPr>
        <w:bidi w:val="0"/>
        <w:rPr>
          <w:rFonts w:hint="eastAsia"/>
          <w:lang w:val="en-US" w:eastAsia="zh-CN"/>
        </w:rPr>
      </w:pPr>
      <w:r>
        <w:rPr>
          <w:rFonts w:hint="eastAsia"/>
          <w:lang w:val="en-US" w:eastAsia="zh-CN"/>
        </w:rPr>
        <w:t>2、乙方未全面履行合同义务或者发生违约，甲方有权终止合同，依法向乙方要求经济索赔，并报请招标监督管理机关进行相应的行政处罚。甲方违约的，应当赔偿给乙方造成的经济损失。</w:t>
      </w:r>
    </w:p>
    <w:p w14:paraId="45E1F809">
      <w:pPr>
        <w:bidi w:val="0"/>
        <w:rPr>
          <w:rFonts w:hint="eastAsia"/>
          <w:lang w:val="en-US" w:eastAsia="zh-CN"/>
        </w:rPr>
      </w:pPr>
      <w:r>
        <w:rPr>
          <w:rFonts w:hint="eastAsia"/>
          <w:lang w:val="en-US" w:eastAsia="zh-CN"/>
        </w:rPr>
        <w:t>3、乙方违反保密义务造成甲方承受损失的，应承担国家有关法律、法规要求乙方承担的责任。</w:t>
      </w:r>
    </w:p>
    <w:p w14:paraId="28E80E86">
      <w:pPr>
        <w:bidi w:val="0"/>
        <w:rPr>
          <w:rFonts w:hint="eastAsia"/>
          <w:lang w:val="en-US" w:eastAsia="zh-CN"/>
        </w:rPr>
      </w:pPr>
      <w:r>
        <w:rPr>
          <w:rFonts w:hint="eastAsia"/>
          <w:lang w:val="en-US" w:eastAsia="zh-CN"/>
        </w:rPr>
        <w:t>4、乙方不得将其在本合同项下所享有的权利和/或承担的义务转让给任何第三方，否则甲方有权解除合同，乙方应当向甲方支付合同约定服务费用1%的违约金并赔偿甲方全部损失。</w:t>
      </w:r>
    </w:p>
    <w:p w14:paraId="2B9C153A">
      <w:pPr>
        <w:bidi w:val="0"/>
        <w:rPr>
          <w:rFonts w:hint="eastAsia"/>
          <w:lang w:val="en-US" w:eastAsia="zh-CN"/>
        </w:rPr>
      </w:pPr>
      <w:r>
        <w:rPr>
          <w:rFonts w:hint="eastAsia"/>
          <w:lang w:val="en-US" w:eastAsia="zh-CN"/>
        </w:rPr>
        <w:t>5、乙方运维服务部分或者全部不符合合同约定条件的，甲方有权指正，乙方应按要求改正，若改正后仍不能达到合同约定条件的，甲方有权解除合同，要求乙方承担合同总价款 3%的违约金以及因此给甲方造成的所有损失。</w:t>
      </w:r>
    </w:p>
    <w:p w14:paraId="659F3D40">
      <w:pPr>
        <w:bidi w:val="0"/>
        <w:rPr>
          <w:rFonts w:hint="eastAsia"/>
          <w:lang w:val="en-US" w:eastAsia="zh-CN"/>
        </w:rPr>
      </w:pPr>
      <w:r>
        <w:rPr>
          <w:rFonts w:hint="eastAsia"/>
          <w:lang w:val="en-US" w:eastAsia="zh-CN"/>
        </w:rPr>
        <w:t>6.本合同在履行过程中发生的争议，由甲、乙双方当事人协商解决协商不成的按下列第(2)种方式解决:</w:t>
      </w:r>
    </w:p>
    <w:p w14:paraId="56019BA4">
      <w:pPr>
        <w:bidi w:val="0"/>
        <w:rPr>
          <w:rFonts w:hint="eastAsia"/>
          <w:lang w:val="en-US" w:eastAsia="zh-CN"/>
        </w:rPr>
      </w:pPr>
      <w:r>
        <w:rPr>
          <w:rFonts w:hint="eastAsia"/>
          <w:lang w:val="en-US" w:eastAsia="zh-CN"/>
        </w:rPr>
        <w:t>(1)向甲方所在地有管辖权的人民法院提起诉讼;</w:t>
      </w:r>
    </w:p>
    <w:p w14:paraId="4BAD24D1">
      <w:pPr>
        <w:bidi w:val="0"/>
        <w:rPr>
          <w:rFonts w:hint="eastAsia"/>
          <w:lang w:val="en-US" w:eastAsia="zh-CN"/>
        </w:rPr>
      </w:pPr>
      <w:r>
        <w:rPr>
          <w:rFonts w:hint="eastAsia"/>
          <w:lang w:val="en-US" w:eastAsia="zh-CN"/>
        </w:rPr>
        <w:t>(2)向西安市仲裁委员会按其仲裁规则申请仲裁。</w:t>
      </w:r>
    </w:p>
    <w:p w14:paraId="2E2A809D">
      <w:pPr>
        <w:pStyle w:val="4"/>
        <w:bidi w:val="0"/>
      </w:pPr>
      <w:r>
        <w:rPr>
          <w:rFonts w:hint="eastAsia"/>
          <w:lang w:val="en-US" w:eastAsia="zh-CN"/>
        </w:rPr>
        <w:t>十一、合同的变更、中止、解除</w:t>
      </w:r>
    </w:p>
    <w:p w14:paraId="012D01E3">
      <w:pPr>
        <w:bidi w:val="0"/>
        <w:rPr>
          <w:rFonts w:hint="eastAsia"/>
          <w:lang w:val="en-US" w:eastAsia="zh-CN"/>
        </w:rPr>
      </w:pPr>
      <w:r>
        <w:rPr>
          <w:rFonts w:hint="eastAsia"/>
          <w:lang w:val="en-US" w:eastAsia="zh-CN"/>
        </w:rPr>
        <w:t>甲乙双方在协商一致的情况下，可根据《中华人民共和国政府采购法》、《中华人民共和国政府采购实施条例》、《中华人民共和国民法典》和其他有关法律、法规、规章许可范围内对委托协议内容做出变更，如作出变更的应当签订补充协议，如因政策或重大变故等原因，致使采购项目发生更改或取消的，应签订补充协议或终止本协议。</w:t>
      </w:r>
    </w:p>
    <w:p w14:paraId="3795459A">
      <w:pPr>
        <w:pStyle w:val="4"/>
        <w:numPr>
          <w:ilvl w:val="0"/>
          <w:numId w:val="4"/>
        </w:numPr>
        <w:bidi w:val="0"/>
        <w:rPr>
          <w:rFonts w:hint="eastAsia"/>
          <w:lang w:val="en-US" w:eastAsia="zh-CN"/>
        </w:rPr>
      </w:pPr>
      <w:r>
        <w:rPr>
          <w:rFonts w:hint="eastAsia"/>
          <w:lang w:val="en-US" w:eastAsia="zh-CN"/>
        </w:rPr>
        <w:t>其他事项</w:t>
      </w:r>
    </w:p>
    <w:p w14:paraId="734DDC95">
      <w:pPr>
        <w:bidi w:val="0"/>
        <w:rPr>
          <w:rFonts w:hint="eastAsia"/>
          <w:lang w:val="en-US" w:eastAsia="zh-CN"/>
        </w:rPr>
      </w:pPr>
      <w:r>
        <w:rPr>
          <w:rFonts w:hint="eastAsia"/>
          <w:lang w:val="en-US" w:eastAsia="zh-CN"/>
        </w:rPr>
        <w:t>1.本协议一式</w:t>
      </w:r>
      <w:r>
        <w:rPr>
          <w:rFonts w:hint="eastAsia"/>
          <w:i/>
          <w:iCs/>
          <w:u w:val="single"/>
          <w:lang w:val="en-US" w:eastAsia="zh-CN"/>
        </w:rPr>
        <w:t xml:space="preserve">   </w:t>
      </w:r>
      <w:r>
        <w:rPr>
          <w:rFonts w:hint="eastAsia"/>
          <w:lang w:val="en-US" w:eastAsia="zh-CN"/>
        </w:rPr>
        <w:t>份，甲方</w:t>
      </w:r>
      <w:r>
        <w:rPr>
          <w:rFonts w:hint="eastAsia"/>
          <w:i/>
          <w:iCs/>
          <w:u w:val="single"/>
          <w:lang w:val="en-US" w:eastAsia="zh-CN"/>
        </w:rPr>
        <w:t xml:space="preserve">   </w:t>
      </w:r>
      <w:r>
        <w:rPr>
          <w:rFonts w:hint="eastAsia"/>
          <w:lang w:val="en-US" w:eastAsia="zh-CN"/>
        </w:rPr>
        <w:t>份、乙方</w:t>
      </w:r>
      <w:r>
        <w:rPr>
          <w:rFonts w:hint="eastAsia"/>
          <w:i/>
          <w:iCs/>
          <w:u w:val="single"/>
          <w:lang w:val="en-US" w:eastAsia="zh-CN"/>
        </w:rPr>
        <w:t xml:space="preserve">   </w:t>
      </w:r>
      <w:r>
        <w:rPr>
          <w:rFonts w:hint="eastAsia"/>
          <w:lang w:val="en-US" w:eastAsia="zh-CN"/>
        </w:rPr>
        <w:t>份。具有同等法律效力。</w:t>
      </w:r>
    </w:p>
    <w:p w14:paraId="12BE290A">
      <w:pPr>
        <w:bidi w:val="0"/>
        <w:rPr>
          <w:rFonts w:hint="eastAsia"/>
          <w:lang w:val="en-US" w:eastAsia="zh-CN"/>
        </w:rPr>
      </w:pPr>
      <w:r>
        <w:rPr>
          <w:rFonts w:hint="eastAsia"/>
          <w:lang w:val="en-US" w:eastAsia="zh-CN"/>
        </w:rPr>
        <w:t>2.本协议于甲乙双方签字盖章之日起生效。</w:t>
      </w:r>
    </w:p>
    <w:p w14:paraId="35836964">
      <w:pPr>
        <w:bidi w:val="0"/>
        <w:rPr>
          <w:rFonts w:hint="eastAsia"/>
          <w:b w:val="0"/>
          <w:bCs w:val="0"/>
          <w:lang w:val="en-US" w:eastAsia="zh-CN"/>
        </w:rPr>
      </w:pPr>
      <w:r>
        <w:rPr>
          <w:rFonts w:hint="eastAsia"/>
          <w:lang w:val="en-US" w:eastAsia="zh-CN"/>
        </w:rPr>
        <w:t>3.本协议未尽事宜，由甲乙双方协商形成补充条款，与本协议具有同等法律效力。</w:t>
      </w:r>
    </w:p>
    <w:p w14:paraId="41DEA751">
      <w:pPr>
        <w:spacing w:line="360" w:lineRule="auto"/>
        <w:ind w:left="0" w:leftChars="0" w:firstLine="0" w:firstLineChars="0"/>
        <w:rPr>
          <w:rFonts w:hint="eastAsia" w:ascii="仿宋" w:hAnsi="仿宋" w:eastAsia="仿宋" w:cs="PMingLiU"/>
          <w:b w:val="0"/>
          <w:bCs w:val="0"/>
          <w:sz w:val="29"/>
          <w:szCs w:val="29"/>
          <w:lang w:val="en-US" w:eastAsia="zh-CN" w:bidi="ar-SA"/>
        </w:rPr>
      </w:pPr>
    </w:p>
    <w:p w14:paraId="1D66BCC6">
      <w:pPr>
        <w:spacing w:line="360" w:lineRule="auto"/>
        <w:ind w:left="0" w:leftChars="0" w:firstLine="0" w:firstLineChars="0"/>
        <w:rPr>
          <w:rFonts w:hint="eastAsia" w:ascii="仿宋" w:hAnsi="仿宋" w:eastAsia="仿宋" w:cs="PMingLiU"/>
          <w:b w:val="0"/>
          <w:bCs w:val="0"/>
          <w:sz w:val="29"/>
          <w:szCs w:val="29"/>
          <w:lang w:val="en-US" w:eastAsia="zh-CN" w:bidi="ar-SA"/>
        </w:rPr>
      </w:pPr>
      <w:r>
        <w:rPr>
          <w:rFonts w:hint="eastAsia" w:ascii="仿宋" w:hAnsi="仿宋" w:eastAsia="仿宋" w:cs="PMingLiU"/>
          <w:b w:val="0"/>
          <w:bCs w:val="0"/>
          <w:sz w:val="29"/>
          <w:szCs w:val="29"/>
          <w:lang w:val="en-US" w:eastAsia="zh-CN" w:bidi="ar-SA"/>
        </w:rPr>
        <w:t xml:space="preserve">甲方：                          </w:t>
      </w:r>
      <w:r>
        <w:rPr>
          <w:rFonts w:hint="eastAsia" w:cs="PMingLiU"/>
          <w:b w:val="0"/>
          <w:bCs w:val="0"/>
          <w:sz w:val="29"/>
          <w:szCs w:val="29"/>
          <w:lang w:val="en-US" w:eastAsia="zh-CN" w:bidi="ar-SA"/>
        </w:rPr>
        <w:t xml:space="preserve"> </w:t>
      </w:r>
      <w:r>
        <w:rPr>
          <w:rFonts w:hint="eastAsia" w:ascii="仿宋" w:hAnsi="仿宋" w:eastAsia="仿宋" w:cs="PMingLiU"/>
          <w:b w:val="0"/>
          <w:bCs w:val="0"/>
          <w:sz w:val="29"/>
          <w:szCs w:val="29"/>
          <w:lang w:val="en-US" w:eastAsia="zh-CN" w:bidi="ar-SA"/>
        </w:rPr>
        <w:t xml:space="preserve">    乙方：</w:t>
      </w:r>
    </w:p>
    <w:p w14:paraId="461470CF">
      <w:pPr>
        <w:spacing w:line="360" w:lineRule="auto"/>
        <w:ind w:left="0" w:leftChars="0" w:firstLine="0" w:firstLineChars="0"/>
        <w:rPr>
          <w:rFonts w:hint="eastAsia" w:ascii="仿宋" w:hAnsi="仿宋" w:eastAsia="仿宋" w:cs="PMingLiU"/>
          <w:b w:val="0"/>
          <w:bCs w:val="0"/>
          <w:sz w:val="29"/>
          <w:szCs w:val="29"/>
          <w:lang w:val="en-US" w:eastAsia="zh-CN" w:bidi="ar-SA"/>
        </w:rPr>
      </w:pPr>
      <w:r>
        <w:rPr>
          <w:rFonts w:hint="eastAsia" w:ascii="仿宋" w:hAnsi="仿宋" w:eastAsia="仿宋" w:cs="PMingLiU"/>
          <w:b w:val="0"/>
          <w:bCs w:val="0"/>
          <w:sz w:val="29"/>
          <w:szCs w:val="29"/>
          <w:lang w:val="en-US" w:eastAsia="zh-CN" w:bidi="ar-SA"/>
        </w:rPr>
        <w:t xml:space="preserve">地址:                          </w:t>
      </w:r>
      <w:r>
        <w:rPr>
          <w:rFonts w:hint="eastAsia" w:cs="PMingLiU"/>
          <w:b w:val="0"/>
          <w:bCs w:val="0"/>
          <w:sz w:val="29"/>
          <w:szCs w:val="29"/>
          <w:lang w:val="en-US" w:eastAsia="zh-CN" w:bidi="ar-SA"/>
        </w:rPr>
        <w:t xml:space="preserve"> </w:t>
      </w:r>
      <w:r>
        <w:rPr>
          <w:rFonts w:hint="eastAsia" w:ascii="仿宋" w:hAnsi="仿宋" w:eastAsia="仿宋" w:cs="PMingLiU"/>
          <w:b w:val="0"/>
          <w:bCs w:val="0"/>
          <w:sz w:val="29"/>
          <w:szCs w:val="29"/>
          <w:lang w:val="en-US" w:eastAsia="zh-CN" w:bidi="ar-SA"/>
        </w:rPr>
        <w:t xml:space="preserve">     地址：</w:t>
      </w:r>
    </w:p>
    <w:p w14:paraId="29C8E822">
      <w:pPr>
        <w:spacing w:line="360" w:lineRule="auto"/>
        <w:ind w:left="0" w:leftChars="0" w:firstLine="0" w:firstLineChars="0"/>
        <w:rPr>
          <w:rFonts w:hint="eastAsia" w:ascii="仿宋" w:hAnsi="仿宋" w:eastAsia="仿宋" w:cs="PMingLiU"/>
          <w:b w:val="0"/>
          <w:bCs w:val="0"/>
          <w:sz w:val="29"/>
          <w:szCs w:val="29"/>
          <w:lang w:val="en-US" w:eastAsia="zh-CN" w:bidi="ar-SA"/>
        </w:rPr>
      </w:pPr>
      <w:r>
        <w:rPr>
          <w:rFonts w:hint="eastAsia" w:ascii="仿宋" w:hAnsi="仿宋" w:eastAsia="仿宋" w:cs="PMingLiU"/>
          <w:b w:val="0"/>
          <w:bCs w:val="0"/>
          <w:sz w:val="29"/>
          <w:szCs w:val="29"/>
          <w:lang w:val="en-US" w:eastAsia="zh-CN" w:bidi="ar-SA"/>
        </w:rPr>
        <w:t xml:space="preserve">法定代表人或授权代表           </w:t>
      </w:r>
      <w:r>
        <w:rPr>
          <w:rFonts w:hint="eastAsia" w:cs="PMingLiU"/>
          <w:b w:val="0"/>
          <w:bCs w:val="0"/>
          <w:sz w:val="29"/>
          <w:szCs w:val="29"/>
          <w:lang w:val="en-US" w:eastAsia="zh-CN" w:bidi="ar-SA"/>
        </w:rPr>
        <w:t xml:space="preserve"> </w:t>
      </w:r>
      <w:r>
        <w:rPr>
          <w:rFonts w:hint="eastAsia" w:ascii="仿宋" w:hAnsi="仿宋" w:eastAsia="仿宋" w:cs="PMingLiU"/>
          <w:b w:val="0"/>
          <w:bCs w:val="0"/>
          <w:sz w:val="29"/>
          <w:szCs w:val="29"/>
          <w:lang w:val="en-US" w:eastAsia="zh-CN" w:bidi="ar-SA"/>
        </w:rPr>
        <w:t xml:space="preserve">     法定代表人或授权代表（签字或盖章）：                    （签字或盖章）：</w:t>
      </w:r>
    </w:p>
    <w:p w14:paraId="523D8BDB">
      <w:pPr>
        <w:spacing w:line="360" w:lineRule="auto"/>
        <w:ind w:left="0" w:leftChars="0" w:firstLine="0" w:firstLineChars="0"/>
        <w:rPr>
          <w:rFonts w:hint="default" w:ascii="仿宋" w:hAnsi="仿宋" w:eastAsia="仿宋" w:cs="PMingLiU"/>
          <w:b w:val="0"/>
          <w:bCs w:val="0"/>
          <w:sz w:val="29"/>
          <w:szCs w:val="29"/>
          <w:lang w:val="en-US" w:eastAsia="zh-CN" w:bidi="ar-SA"/>
        </w:rPr>
      </w:pPr>
      <w:r>
        <w:rPr>
          <w:rFonts w:hint="eastAsia" w:ascii="仿宋" w:hAnsi="仿宋" w:eastAsia="仿宋" w:cs="PMingLiU"/>
          <w:b w:val="0"/>
          <w:bCs w:val="0"/>
          <w:sz w:val="29"/>
          <w:szCs w:val="29"/>
          <w:lang w:val="en-US" w:eastAsia="zh-CN" w:bidi="ar-SA"/>
        </w:rPr>
        <w:t>邮  编：                             邮  编：</w:t>
      </w:r>
    </w:p>
    <w:p w14:paraId="7515C234">
      <w:pPr>
        <w:spacing w:line="360" w:lineRule="auto"/>
        <w:ind w:left="0" w:leftChars="0" w:firstLine="0" w:firstLineChars="0"/>
        <w:rPr>
          <w:rFonts w:hint="eastAsia" w:ascii="仿宋" w:hAnsi="仿宋" w:eastAsia="仿宋" w:cs="PMingLiU"/>
          <w:b w:val="0"/>
          <w:bCs w:val="0"/>
          <w:sz w:val="29"/>
          <w:szCs w:val="29"/>
          <w:lang w:val="en-US" w:eastAsia="zh-CN" w:bidi="ar-SA"/>
        </w:rPr>
      </w:pPr>
      <w:r>
        <w:rPr>
          <w:rFonts w:hint="eastAsia" w:ascii="仿宋" w:hAnsi="仿宋" w:eastAsia="仿宋" w:cs="PMingLiU"/>
          <w:b w:val="0"/>
          <w:bCs w:val="0"/>
          <w:sz w:val="29"/>
          <w:szCs w:val="29"/>
          <w:lang w:val="en-US" w:eastAsia="zh-CN" w:bidi="ar-SA"/>
        </w:rPr>
        <w:t>电  话：                             电  话：</w:t>
      </w:r>
    </w:p>
    <w:p w14:paraId="37C42A3C">
      <w:pPr>
        <w:spacing w:line="360" w:lineRule="auto"/>
        <w:ind w:left="0" w:leftChars="0" w:firstLine="0" w:firstLineChars="0"/>
        <w:rPr>
          <w:rFonts w:hint="eastAsia" w:ascii="仿宋" w:hAnsi="仿宋" w:eastAsia="仿宋" w:cs="PMingLiU"/>
          <w:b w:val="0"/>
          <w:bCs w:val="0"/>
          <w:sz w:val="29"/>
          <w:szCs w:val="29"/>
          <w:lang w:val="en-US" w:eastAsia="zh-CN" w:bidi="ar-SA"/>
        </w:rPr>
      </w:pPr>
      <w:r>
        <w:rPr>
          <w:rFonts w:hint="eastAsia" w:ascii="仿宋" w:hAnsi="仿宋" w:eastAsia="仿宋" w:cs="PMingLiU"/>
          <w:b w:val="0"/>
          <w:bCs w:val="0"/>
          <w:sz w:val="29"/>
          <w:szCs w:val="29"/>
          <w:lang w:val="en-US" w:eastAsia="zh-CN" w:bidi="ar-SA"/>
        </w:rPr>
        <w:t>传  真：                             传  真：</w:t>
      </w:r>
    </w:p>
    <w:p w14:paraId="5F50D638">
      <w:pPr>
        <w:spacing w:line="360" w:lineRule="auto"/>
        <w:ind w:left="0" w:leftChars="0" w:firstLine="0" w:firstLineChars="0"/>
        <w:rPr>
          <w:rFonts w:hint="default" w:ascii="仿宋" w:hAnsi="仿宋" w:eastAsia="仿宋" w:cs="PMingLiU"/>
          <w:b w:val="0"/>
          <w:bCs w:val="0"/>
          <w:sz w:val="29"/>
          <w:szCs w:val="29"/>
          <w:lang w:val="en-US" w:eastAsia="zh-CN" w:bidi="ar-SA"/>
        </w:rPr>
      </w:pPr>
      <w:r>
        <w:rPr>
          <w:rFonts w:hint="eastAsia" w:ascii="仿宋" w:hAnsi="仿宋" w:eastAsia="仿宋" w:cs="PMingLiU"/>
          <w:b w:val="0"/>
          <w:bCs w:val="0"/>
          <w:sz w:val="29"/>
          <w:szCs w:val="29"/>
          <w:lang w:val="en-US" w:eastAsia="zh-CN" w:bidi="ar-SA"/>
        </w:rPr>
        <w:t>日  期：                             日  期：</w:t>
      </w:r>
    </w:p>
    <w:p w14:paraId="25B9D0C3">
      <w:pPr>
        <w:spacing w:line="360" w:lineRule="auto"/>
        <w:ind w:firstLine="240" w:firstLineChars="100"/>
        <w:rPr>
          <w:rFonts w:hint="default" w:ascii="宋体" w:hAnsi="宋体"/>
          <w:color w:val="000000"/>
          <w:sz w:val="24"/>
          <w:szCs w:val="24"/>
          <w:lang w:val="en-US" w:eastAsia="zh-CN"/>
        </w:rPr>
      </w:pPr>
    </w:p>
    <w:p w14:paraId="18398C01">
      <w:pPr>
        <w:numPr>
          <w:ilvl w:val="0"/>
          <w:numId w:val="0"/>
        </w:numPr>
        <w:tabs>
          <w:tab w:val="left" w:pos="3969"/>
        </w:tabs>
        <w:spacing w:line="360" w:lineRule="auto"/>
        <w:rPr>
          <w:rFonts w:hint="eastAsia"/>
          <w:lang w:val="en-US" w:eastAsia="zh-CN"/>
        </w:rPr>
      </w:pPr>
      <w:r>
        <w:rPr>
          <w:rFonts w:hint="eastAsia"/>
          <w:b w:val="0"/>
          <w:bCs w:val="0"/>
          <w:lang w:val="en-US" w:eastAsia="zh-CN"/>
        </w:rPr>
        <w:br w:type="page"/>
      </w:r>
      <w:r>
        <w:rPr>
          <w:rFonts w:hint="eastAsia"/>
          <w:lang w:val="en-US" w:eastAsia="zh-CN"/>
        </w:rPr>
        <w:t>附件1：</w:t>
      </w:r>
    </w:p>
    <w:p w14:paraId="34E5F086">
      <w:pPr>
        <w:jc w:val="center"/>
        <w:rPr>
          <w:rFonts w:hint="default"/>
          <w:b/>
          <w:bCs/>
          <w:lang w:val="en-US" w:eastAsia="zh-CN"/>
        </w:rPr>
      </w:pPr>
      <w:r>
        <w:rPr>
          <w:rFonts w:hint="default"/>
          <w:b/>
          <w:bCs/>
          <w:lang w:val="en-US" w:eastAsia="zh-CN"/>
        </w:rPr>
        <w:t>保 密 协 仪</w:t>
      </w:r>
    </w:p>
    <w:p w14:paraId="3B80683F">
      <w:pPr>
        <w:rPr>
          <w:rFonts w:hint="default"/>
          <w:u w:val="single"/>
          <w:lang w:val="en-US" w:eastAsia="zh-CN"/>
        </w:rPr>
      </w:pPr>
      <w:r>
        <w:rPr>
          <w:rFonts w:hint="default"/>
          <w:lang w:val="en-US" w:eastAsia="zh-CN"/>
        </w:rPr>
        <w:t>甲方:</w:t>
      </w:r>
      <w:r>
        <w:rPr>
          <w:rFonts w:hint="eastAsia"/>
          <w:u w:val="single"/>
          <w:lang w:val="en-US" w:eastAsia="zh-CN"/>
        </w:rPr>
        <w:t xml:space="preserve">                    </w:t>
      </w:r>
    </w:p>
    <w:p w14:paraId="67D276F0">
      <w:pPr>
        <w:rPr>
          <w:rFonts w:hint="default"/>
          <w:lang w:val="en-US" w:eastAsia="zh-CN"/>
        </w:rPr>
      </w:pPr>
      <w:r>
        <w:rPr>
          <w:rFonts w:hint="default"/>
          <w:lang w:val="en-US" w:eastAsia="zh-CN"/>
        </w:rPr>
        <w:t>乙方:</w:t>
      </w:r>
      <w:r>
        <w:rPr>
          <w:rFonts w:hint="eastAsia"/>
          <w:u w:val="single"/>
          <w:lang w:val="en-US" w:eastAsia="zh-CN"/>
        </w:rPr>
        <w:t xml:space="preserve">                    </w:t>
      </w:r>
      <w:r>
        <w:rPr>
          <w:rFonts w:hint="default"/>
          <w:lang w:val="en-US" w:eastAsia="zh-CN"/>
        </w:rPr>
        <w:t xml:space="preserve"> </w:t>
      </w:r>
    </w:p>
    <w:p w14:paraId="49473ACF">
      <w:pPr>
        <w:rPr>
          <w:rFonts w:hint="default"/>
          <w:lang w:val="en-US" w:eastAsia="zh-CN"/>
        </w:rPr>
      </w:pPr>
      <w:r>
        <w:rPr>
          <w:rFonts w:hint="default"/>
          <w:lang w:val="en-US" w:eastAsia="zh-CN"/>
        </w:rPr>
        <w:t>为进一步加强网络与数据信息安全保障，根据甲、乙方签订的合同相关要求，经甲、乙方共同协商，双方同意，自愿签订本协议，共同遵守本协议所列条款。</w:t>
      </w:r>
    </w:p>
    <w:p w14:paraId="1C83EE20">
      <w:pPr>
        <w:rPr>
          <w:rFonts w:hint="default"/>
          <w:b/>
          <w:bCs/>
          <w:lang w:val="en-US" w:eastAsia="zh-CN"/>
        </w:rPr>
      </w:pPr>
      <w:r>
        <w:rPr>
          <w:rFonts w:hint="default"/>
          <w:b/>
          <w:bCs/>
          <w:lang w:val="en-US" w:eastAsia="zh-CN"/>
        </w:rPr>
        <w:t>一、保密信息</w:t>
      </w:r>
    </w:p>
    <w:p w14:paraId="6E809283">
      <w:pPr>
        <w:rPr>
          <w:rFonts w:hint="default"/>
          <w:lang w:val="en-US" w:eastAsia="zh-CN"/>
        </w:rPr>
      </w:pPr>
      <w:r>
        <w:rPr>
          <w:rFonts w:hint="default"/>
          <w:lang w:val="en-US" w:eastAsia="zh-CN"/>
        </w:rPr>
        <w:t>1.在项目实施过程中所涉及的所有项目文档、系统结构、源代账号及口令、数据库内容、业务核心数据及业务流程、各业务系码统相关数据和信息内容，以及其他专有信息等。</w:t>
      </w:r>
    </w:p>
    <w:p w14:paraId="65E76044">
      <w:pPr>
        <w:rPr>
          <w:rFonts w:hint="default"/>
          <w:lang w:val="en-US" w:eastAsia="zh-CN"/>
        </w:rPr>
      </w:pPr>
      <w:r>
        <w:rPr>
          <w:rFonts w:hint="default"/>
          <w:lang w:val="en-US" w:eastAsia="zh-CN"/>
        </w:rPr>
        <w:t>2.甲方设备和系统运行的状态、安全态势等安全监控信息和相关运维信息。</w:t>
      </w:r>
    </w:p>
    <w:p w14:paraId="78420EE1">
      <w:pPr>
        <w:rPr>
          <w:rFonts w:hint="default"/>
          <w:lang w:val="en-US" w:eastAsia="zh-CN"/>
        </w:rPr>
      </w:pPr>
      <w:r>
        <w:rPr>
          <w:rFonts w:hint="default"/>
          <w:lang w:val="en-US" w:eastAsia="zh-CN"/>
        </w:rPr>
        <w:t>3.其他甲方未对外披露的资料、信息等内容。</w:t>
      </w:r>
    </w:p>
    <w:p w14:paraId="6358E566">
      <w:pPr>
        <w:rPr>
          <w:rFonts w:hint="default"/>
          <w:b/>
          <w:bCs/>
          <w:lang w:val="en-US" w:eastAsia="zh-CN"/>
        </w:rPr>
      </w:pPr>
      <w:r>
        <w:rPr>
          <w:rFonts w:hint="default"/>
          <w:b/>
          <w:bCs/>
          <w:lang w:val="en-US" w:eastAsia="zh-CN"/>
        </w:rPr>
        <w:t>二、保密条款</w:t>
      </w:r>
    </w:p>
    <w:p w14:paraId="1017BE9B">
      <w:pPr>
        <w:rPr>
          <w:rFonts w:hint="default"/>
          <w:lang w:val="en-US" w:eastAsia="zh-CN"/>
        </w:rPr>
      </w:pPr>
      <w:r>
        <w:rPr>
          <w:rFonts w:hint="default"/>
          <w:lang w:val="en-US" w:eastAsia="zh-CN"/>
        </w:rPr>
        <w:t>1.乙方必须遵守国家保密法律、法规和规章制度,履行保密义务。</w:t>
      </w:r>
    </w:p>
    <w:p w14:paraId="3CE8DA80">
      <w:pPr>
        <w:rPr>
          <w:rFonts w:hint="default"/>
          <w:lang w:val="en-US" w:eastAsia="zh-CN"/>
        </w:rPr>
      </w:pPr>
      <w:r>
        <w:rPr>
          <w:rFonts w:hint="default"/>
          <w:lang w:val="en-US" w:eastAsia="zh-CN"/>
        </w:rPr>
        <w:t>2.乙方应严格保守甲方的有关保密信息,不以其他任何手段谋取私利，损害甲方利益。未经甲方书面许可，乙方不得在任何时候任何场合以任何名义向第三方(包括乙方所在公司其他与本服务无关人员)泄露甲方保密信息。</w:t>
      </w:r>
    </w:p>
    <w:p w14:paraId="459E2D8A">
      <w:pPr>
        <w:rPr>
          <w:rFonts w:hint="default"/>
          <w:lang w:val="en-US" w:eastAsia="zh-CN"/>
        </w:rPr>
      </w:pPr>
      <w:r>
        <w:rPr>
          <w:rFonts w:hint="default"/>
          <w:lang w:val="en-US" w:eastAsia="zh-CN"/>
        </w:rPr>
        <w:t>3.凡参与或参与过本项目的乙方工作人员,都应对本项目的数据信息(详见本协议第一条款的内容)予以严格保密，本项目的数据信息只能存储于甲方所指定的介质和设备中，乙方工作人员不得带离指定工作场所，不得以任何方式向任何第三方提供或对外公开:未经甲方许可，不得修改本项目数据信息。</w:t>
      </w:r>
    </w:p>
    <w:p w14:paraId="1F4092D1">
      <w:pPr>
        <w:rPr>
          <w:rFonts w:hint="default"/>
          <w:lang w:val="en-US" w:eastAsia="zh-CN"/>
        </w:rPr>
      </w:pPr>
      <w:r>
        <w:rPr>
          <w:rFonts w:hint="default"/>
          <w:lang w:val="en-US" w:eastAsia="zh-CN"/>
        </w:rPr>
        <w:t>4.乙方须与本项目相关工作人员签订保密协议，并加强保密教育，严防泄密。</w:t>
      </w:r>
    </w:p>
    <w:p w14:paraId="4791D93B">
      <w:pPr>
        <w:rPr>
          <w:rFonts w:hint="default"/>
          <w:lang w:val="en-US" w:eastAsia="zh-CN"/>
        </w:rPr>
      </w:pPr>
      <w:r>
        <w:rPr>
          <w:rFonts w:hint="default"/>
          <w:lang w:val="en-US" w:eastAsia="zh-CN"/>
        </w:rPr>
        <w:t>5.不论本项目合同是否变更、解除、终止，乙方对本项目相关数据信息都有保密义务。</w:t>
      </w:r>
    </w:p>
    <w:p w14:paraId="33F82CD7">
      <w:pPr>
        <w:rPr>
          <w:rFonts w:hint="default"/>
          <w:lang w:val="en-US" w:eastAsia="zh-CN"/>
        </w:rPr>
      </w:pPr>
      <w:r>
        <w:rPr>
          <w:rFonts w:hint="default"/>
          <w:lang w:val="en-US" w:eastAsia="zh-CN"/>
        </w:rPr>
        <w:t>6.项目实施完毕后,乙方应当按照甲方要求归还或销毁甲方保密信息。</w:t>
      </w:r>
    </w:p>
    <w:p w14:paraId="2E78FFD2">
      <w:pPr>
        <w:ind w:firstLine="880"/>
        <w:rPr>
          <w:rFonts w:hint="default" w:ascii="Times New Roman" w:hAnsi="Times New Roman" w:cs="Times New Roman"/>
          <w:b/>
          <w:bCs/>
          <w:lang w:val="en-US" w:eastAsia="zh-CN"/>
        </w:rPr>
      </w:pPr>
      <w:r>
        <w:rPr>
          <w:rFonts w:hint="default" w:ascii="Times New Roman" w:hAnsi="Times New Roman" w:cs="Times New Roman"/>
          <w:b/>
          <w:bCs/>
          <w:lang w:val="en-US" w:eastAsia="zh-CN"/>
        </w:rPr>
        <w:t>三、违约责任</w:t>
      </w:r>
    </w:p>
    <w:p w14:paraId="3F7708EB">
      <w:pPr>
        <w:ind w:firstLine="880"/>
        <w:rPr>
          <w:rFonts w:hint="default" w:ascii="Times New Roman" w:hAnsi="Times New Roman" w:cs="Times New Roman"/>
          <w:lang w:val="en-US" w:eastAsia="zh-CN"/>
        </w:rPr>
      </w:pPr>
      <w:r>
        <w:rPr>
          <w:rFonts w:hint="default" w:ascii="Times New Roman" w:hAnsi="Times New Roman" w:cs="Times New Roman"/>
          <w:lang w:val="en-US" w:eastAsia="zh-CN"/>
        </w:rPr>
        <w:t>乙方违反本协议书的规定，无论过失与故意，均应立即停止该违约行为，同时甲方有权终止协议并追究乙方的相应责任。</w:t>
      </w:r>
    </w:p>
    <w:p w14:paraId="74727D40">
      <w:pPr>
        <w:ind w:firstLine="880"/>
        <w:rPr>
          <w:rFonts w:hint="default" w:ascii="Times New Roman" w:hAnsi="Times New Roman" w:cs="Times New Roman"/>
          <w:b/>
          <w:bCs/>
          <w:lang w:val="en-US" w:eastAsia="zh-CN"/>
        </w:rPr>
      </w:pPr>
      <w:r>
        <w:rPr>
          <w:rFonts w:hint="default" w:ascii="Times New Roman" w:hAnsi="Times New Roman" w:cs="Times New Roman"/>
          <w:b/>
          <w:bCs/>
          <w:lang w:val="en-US" w:eastAsia="zh-CN"/>
        </w:rPr>
        <w:t>四、其他约定事项</w:t>
      </w:r>
    </w:p>
    <w:p w14:paraId="100F6287">
      <w:pPr>
        <w:ind w:firstLine="880"/>
        <w:rPr>
          <w:rFonts w:hint="default" w:ascii="Times New Roman" w:hAnsi="Times New Roman" w:cs="Times New Roman"/>
          <w:lang w:val="en-US" w:eastAsia="zh-CN"/>
        </w:rPr>
      </w:pPr>
      <w:r>
        <w:rPr>
          <w:rFonts w:hint="eastAsia" w:ascii="Times New Roman" w:hAnsi="Times New Roman" w:cs="Times New Roman"/>
          <w:lang w:val="en-US" w:eastAsia="zh-CN"/>
        </w:rPr>
        <w:t>1.</w:t>
      </w:r>
      <w:r>
        <w:rPr>
          <w:rFonts w:hint="default" w:ascii="Times New Roman" w:hAnsi="Times New Roman" w:cs="Times New Roman"/>
          <w:lang w:val="en-US" w:eastAsia="zh-CN"/>
        </w:rPr>
        <w:t>本协议未尽事宜按国家有关法律法规执行。</w:t>
      </w:r>
    </w:p>
    <w:p w14:paraId="153D2C87">
      <w:pPr>
        <w:ind w:firstLine="880"/>
        <w:rPr>
          <w:rFonts w:hint="default" w:ascii="Times New Roman" w:hAnsi="Times New Roman" w:cs="Times New Roman"/>
          <w:lang w:val="en-US" w:eastAsia="zh-CN"/>
        </w:rPr>
      </w:pPr>
      <w:r>
        <w:rPr>
          <w:rFonts w:hint="default" w:ascii="Times New Roman" w:hAnsi="Times New Roman" w:cs="Times New Roman"/>
          <w:lang w:val="en-US" w:eastAsia="zh-CN"/>
        </w:rPr>
        <w:t>2.本协议自双方签字并盖章之日起生效，一式捌份，甲乙双方</w:t>
      </w:r>
    </w:p>
    <w:p w14:paraId="0B673DC9">
      <w:pPr>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各执肆份</w:t>
      </w:r>
      <w:r>
        <w:rPr>
          <w:rFonts w:hint="eastAsia" w:ascii="Times New Roman" w:hAnsi="Times New Roman" w:cs="Times New Roman"/>
          <w:lang w:val="en-US" w:eastAsia="zh-CN"/>
        </w:rPr>
        <w:t>，具有同等法律效力</w:t>
      </w:r>
      <w:r>
        <w:rPr>
          <w:rFonts w:hint="default" w:ascii="Times New Roman" w:hAnsi="Times New Roman" w:cs="Times New Roman"/>
          <w:lang w:val="en-US" w:eastAsia="zh-CN"/>
        </w:rPr>
        <w:t>。</w:t>
      </w:r>
    </w:p>
    <w:p w14:paraId="62E2947A">
      <w:pPr>
        <w:pStyle w:val="2"/>
        <w:keepNext w:val="0"/>
        <w:keepLines w:val="0"/>
        <w:pageBreakBefore w:val="0"/>
        <w:widowControl w:val="0"/>
        <w:kinsoku/>
        <w:wordWrap/>
        <w:overflowPunct/>
        <w:topLinePunct w:val="0"/>
        <w:autoSpaceDE w:val="0"/>
        <w:autoSpaceDN w:val="0"/>
        <w:bidi w:val="0"/>
        <w:adjustRightInd/>
        <w:snapToGrid/>
        <w:spacing w:before="313" w:beforeLines="100" w:after="313" w:afterLines="100"/>
        <w:textAlignment w:val="auto"/>
        <w:rPr>
          <w:rFonts w:hint="eastAsia" w:cs="PMingLiU"/>
          <w:sz w:val="29"/>
          <w:szCs w:val="29"/>
          <w:u w:val="none"/>
          <w:lang w:val="en-US" w:eastAsia="zh-CN" w:bidi="ar-SA"/>
        </w:rPr>
      </w:pPr>
      <w:r>
        <w:rPr>
          <w:rFonts w:hint="eastAsia" w:ascii="仿宋" w:hAnsi="仿宋" w:eastAsia="仿宋" w:cs="PMingLiU"/>
          <w:spacing w:val="-20"/>
          <w:sz w:val="29"/>
          <w:szCs w:val="29"/>
          <w:u w:val="none"/>
          <w:lang w:val="en-US" w:eastAsia="zh-CN" w:bidi="ar-SA"/>
        </w:rPr>
        <w:t>甲方：</w:t>
      </w:r>
      <w:r>
        <w:rPr>
          <w:rFonts w:hint="eastAsia"/>
          <w:u w:val="single"/>
          <w:lang w:val="en-US" w:eastAsia="zh-CN"/>
        </w:rPr>
        <w:t xml:space="preserve">                   </w:t>
      </w:r>
      <w:r>
        <w:rPr>
          <w:rFonts w:hint="eastAsia" w:ascii="仿宋" w:hAnsi="仿宋" w:eastAsia="仿宋" w:cs="PMingLiU"/>
          <w:spacing w:val="-20"/>
          <w:sz w:val="29"/>
          <w:szCs w:val="29"/>
          <w:u w:val="none"/>
          <w:lang w:val="en-US" w:eastAsia="zh-CN" w:bidi="ar-SA"/>
        </w:rPr>
        <w:t>（盖章）</w:t>
      </w:r>
      <w:r>
        <w:rPr>
          <w:rFonts w:hint="eastAsia" w:cs="PMingLiU"/>
          <w:sz w:val="29"/>
          <w:szCs w:val="29"/>
          <w:u w:val="none"/>
          <w:lang w:val="en-US" w:eastAsia="zh-CN" w:bidi="ar-SA"/>
        </w:rPr>
        <w:t xml:space="preserve">     </w:t>
      </w:r>
      <w:r>
        <w:rPr>
          <w:rFonts w:hint="eastAsia" w:ascii="仿宋" w:hAnsi="仿宋" w:eastAsia="仿宋" w:cs="PMingLiU"/>
          <w:spacing w:val="-20"/>
          <w:sz w:val="29"/>
          <w:szCs w:val="29"/>
          <w:u w:val="none"/>
          <w:lang w:val="en-US" w:eastAsia="zh-CN" w:bidi="ar-SA"/>
        </w:rPr>
        <w:t>乙方：</w:t>
      </w:r>
      <w:r>
        <w:rPr>
          <w:rFonts w:hint="eastAsia"/>
          <w:u w:val="single"/>
          <w:lang w:val="en-US" w:eastAsia="zh-CN"/>
        </w:rPr>
        <w:t xml:space="preserve">                   </w:t>
      </w:r>
      <w:r>
        <w:rPr>
          <w:rFonts w:hint="eastAsia" w:ascii="仿宋" w:hAnsi="仿宋" w:eastAsia="仿宋" w:cs="PMingLiU"/>
          <w:spacing w:val="-20"/>
          <w:sz w:val="29"/>
          <w:szCs w:val="29"/>
          <w:u w:val="none"/>
          <w:lang w:val="en-US" w:eastAsia="zh-CN" w:bidi="ar-SA"/>
        </w:rPr>
        <w:t>（盖章）</w:t>
      </w:r>
    </w:p>
    <w:p w14:paraId="3B5E50D6">
      <w:pPr>
        <w:keepNext w:val="0"/>
        <w:keepLines w:val="0"/>
        <w:pageBreakBefore w:val="0"/>
        <w:widowControl w:val="0"/>
        <w:kinsoku/>
        <w:wordWrap/>
        <w:overflowPunct/>
        <w:topLinePunct w:val="0"/>
        <w:autoSpaceDE w:val="0"/>
        <w:autoSpaceDN w:val="0"/>
        <w:bidi w:val="0"/>
        <w:adjustRightInd/>
        <w:snapToGrid/>
        <w:spacing w:line="360" w:lineRule="exact"/>
        <w:textAlignment w:val="auto"/>
        <w:rPr>
          <w:rFonts w:hint="default" w:cs="PMingLiU"/>
          <w:spacing w:val="-20"/>
          <w:sz w:val="29"/>
          <w:szCs w:val="29"/>
          <w:u w:val="none"/>
          <w:lang w:val="en-US" w:eastAsia="zh-CN" w:bidi="ar-SA"/>
        </w:rPr>
      </w:pPr>
      <w:r>
        <w:rPr>
          <w:rFonts w:hint="eastAsia" w:cs="PMingLiU"/>
          <w:spacing w:val="-20"/>
          <w:sz w:val="29"/>
          <w:szCs w:val="29"/>
          <w:u w:val="none"/>
          <w:lang w:val="en-US" w:eastAsia="zh-CN" w:bidi="ar-SA"/>
        </w:rPr>
        <w:t>法定代表人或                            法定代表人或</w:t>
      </w:r>
    </w:p>
    <w:p w14:paraId="27C1D39A">
      <w:pPr>
        <w:keepNext w:val="0"/>
        <w:keepLines w:val="0"/>
        <w:pageBreakBefore w:val="0"/>
        <w:widowControl w:val="0"/>
        <w:kinsoku/>
        <w:wordWrap/>
        <w:overflowPunct/>
        <w:topLinePunct w:val="0"/>
        <w:autoSpaceDE w:val="0"/>
        <w:autoSpaceDN w:val="0"/>
        <w:bidi w:val="0"/>
        <w:adjustRightInd/>
        <w:snapToGrid/>
        <w:spacing w:line="360" w:lineRule="exact"/>
        <w:textAlignment w:val="auto"/>
        <w:rPr>
          <w:rFonts w:hint="eastAsia" w:cs="PMingLiU"/>
          <w:spacing w:val="-20"/>
          <w:sz w:val="29"/>
          <w:szCs w:val="29"/>
          <w:u w:val="none"/>
          <w:lang w:val="en-US" w:eastAsia="zh-CN" w:bidi="ar-SA"/>
        </w:rPr>
      </w:pPr>
      <w:r>
        <w:rPr>
          <w:rFonts w:hint="eastAsia" w:ascii="仿宋" w:hAnsi="仿宋" w:eastAsia="仿宋" w:cs="PMingLiU"/>
          <w:spacing w:val="-20"/>
          <w:sz w:val="29"/>
          <w:szCs w:val="29"/>
          <w:u w:val="none"/>
          <w:lang w:val="en-US" w:eastAsia="zh-CN" w:bidi="ar-SA"/>
        </w:rPr>
        <w:t>授权委托人</w:t>
      </w:r>
      <w:r>
        <w:rPr>
          <w:rFonts w:hint="eastAsia"/>
          <w:lang w:val="en-US" w:eastAsia="zh-CN"/>
        </w:rPr>
        <w:t>：</w:t>
      </w:r>
      <w:r>
        <w:rPr>
          <w:rFonts w:hint="eastAsia"/>
          <w:u w:val="single"/>
          <w:lang w:val="en-US" w:eastAsia="zh-CN"/>
        </w:rPr>
        <w:t xml:space="preserve">              </w:t>
      </w:r>
      <w:r>
        <w:rPr>
          <w:rFonts w:hint="eastAsia"/>
          <w:u w:val="none"/>
          <w:lang w:val="en-US" w:eastAsia="zh-CN"/>
        </w:rPr>
        <w:t xml:space="preserve">      </w:t>
      </w:r>
      <w:r>
        <w:rPr>
          <w:rFonts w:hint="eastAsia" w:ascii="仿宋" w:hAnsi="仿宋" w:eastAsia="仿宋" w:cs="PMingLiU"/>
          <w:spacing w:val="-20"/>
          <w:sz w:val="29"/>
          <w:szCs w:val="29"/>
          <w:u w:val="none"/>
          <w:lang w:val="en-US" w:eastAsia="zh-CN" w:bidi="ar-SA"/>
        </w:rPr>
        <w:t>授权委托人</w:t>
      </w:r>
      <w:r>
        <w:rPr>
          <w:rFonts w:hint="eastAsia"/>
          <w:lang w:val="en-US" w:eastAsia="zh-CN"/>
        </w:rPr>
        <w:t>：</w:t>
      </w:r>
      <w:r>
        <w:rPr>
          <w:rFonts w:hint="eastAsia"/>
          <w:u w:val="single"/>
          <w:lang w:val="en-US" w:eastAsia="zh-CN"/>
        </w:rPr>
        <w:t xml:space="preserve">              </w:t>
      </w:r>
      <w:r>
        <w:rPr>
          <w:rFonts w:hint="eastAsia"/>
          <w:u w:val="none"/>
          <w:lang w:val="en-US" w:eastAsia="zh-CN"/>
        </w:rPr>
        <w:t xml:space="preserve">   </w:t>
      </w:r>
    </w:p>
    <w:p w14:paraId="1EFFE818">
      <w:pPr>
        <w:pStyle w:val="2"/>
        <w:keepNext w:val="0"/>
        <w:keepLines w:val="0"/>
        <w:pageBreakBefore w:val="0"/>
        <w:widowControl w:val="0"/>
        <w:kinsoku/>
        <w:wordWrap/>
        <w:overflowPunct/>
        <w:topLinePunct w:val="0"/>
        <w:autoSpaceDE w:val="0"/>
        <w:autoSpaceDN w:val="0"/>
        <w:bidi w:val="0"/>
        <w:adjustRightInd/>
        <w:snapToGrid/>
        <w:spacing w:before="157" w:beforeLines="50"/>
        <w:ind w:left="0" w:leftChars="0" w:firstLine="500" w:firstLineChars="200"/>
        <w:textAlignment w:val="auto"/>
        <w:rPr>
          <w:rFonts w:hint="default" w:ascii="Times New Roman" w:hAnsi="Times New Roman" w:eastAsia="仿宋" w:cs="PMingLiU"/>
          <w:spacing w:val="-20"/>
          <w:kern w:val="2"/>
          <w:sz w:val="29"/>
          <w:szCs w:val="29"/>
          <w:u w:val="none"/>
          <w:lang w:val="en-US" w:eastAsia="zh-CN" w:bidi="ar-SA"/>
        </w:rPr>
      </w:pPr>
      <w:r>
        <w:rPr>
          <w:rFonts w:hint="eastAsia" w:ascii="Times New Roman" w:hAnsi="Times New Roman" w:eastAsia="仿宋" w:cs="PMingLiU"/>
          <w:spacing w:val="-20"/>
          <w:kern w:val="2"/>
          <w:sz w:val="29"/>
          <w:szCs w:val="29"/>
          <w:u w:val="none"/>
          <w:lang w:val="en-US" w:eastAsia="zh-CN" w:bidi="ar-SA"/>
        </w:rPr>
        <w:t>日期：</w:t>
      </w:r>
      <w:r>
        <w:rPr>
          <w:rFonts w:hint="eastAsia"/>
          <w:u w:val="single"/>
          <w:lang w:val="en-US" w:eastAsia="zh-CN"/>
        </w:rPr>
        <w:t xml:space="preserve">                           </w:t>
      </w:r>
      <w:r>
        <w:rPr>
          <w:rFonts w:hint="eastAsia" w:ascii="Times New Roman" w:hAnsi="Times New Roman" w:eastAsia="仿宋" w:cs="PMingLiU"/>
          <w:spacing w:val="-20"/>
          <w:kern w:val="2"/>
          <w:sz w:val="29"/>
          <w:szCs w:val="29"/>
          <w:u w:val="none"/>
          <w:lang w:val="en-US" w:eastAsia="zh-CN" w:bidi="ar-SA"/>
        </w:rPr>
        <w:t xml:space="preserve">        日期：</w:t>
      </w:r>
      <w:r>
        <w:rPr>
          <w:rFonts w:hint="eastAsia"/>
          <w:u w:val="single"/>
          <w:lang w:val="en-US" w:eastAsia="zh-CN"/>
        </w:rPr>
        <w:t xml:space="preserve">                           </w:t>
      </w:r>
      <w:r>
        <w:rPr>
          <w:rFonts w:hint="eastAsia" w:ascii="Times New Roman" w:hAnsi="Times New Roman" w:eastAsia="仿宋" w:cs="PMingLiU"/>
          <w:spacing w:val="-20"/>
          <w:kern w:val="2"/>
          <w:sz w:val="29"/>
          <w:szCs w:val="29"/>
          <w:u w:val="none"/>
          <w:lang w:val="en-US" w:eastAsia="zh-CN" w:bidi="ar-SA"/>
        </w:rPr>
        <w:t xml:space="preserve">                               </w:t>
      </w:r>
    </w:p>
    <w:p w14:paraId="66F9F05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highlight w:val="none"/>
        </w:rPr>
      </w:pPr>
    </w:p>
    <w:p w14:paraId="33720963">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auto"/>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Wingdings 2">
    <w:altName w:val="Wingdings"/>
    <w:panose1 w:val="05020102010507070707"/>
    <w:charset w:val="02"/>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Kingsoft UE">
    <w:altName w:val="Segoe Print"/>
    <w:panose1 w:val="00000000000000000000"/>
    <w:charset w:val="00"/>
    <w:family w:val="auto"/>
    <w:pitch w:val="default"/>
    <w:sig w:usb0="00000000" w:usb1="00000000" w:usb2="00000000" w:usb3="00000000" w:csb0="00000000" w:csb1="00000000"/>
  </w:font>
  <w:font w:name="P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20E923"/>
    <w:multiLevelType w:val="singleLevel"/>
    <w:tmpl w:val="9220E923"/>
    <w:lvl w:ilvl="0" w:tentative="0">
      <w:start w:val="1"/>
      <w:numFmt w:val="decimal"/>
      <w:suff w:val="nothing"/>
      <w:lvlText w:val="（%1）"/>
      <w:lvlJc w:val="left"/>
    </w:lvl>
  </w:abstractNum>
  <w:abstractNum w:abstractNumId="1">
    <w:nsid w:val="19652B91"/>
    <w:multiLevelType w:val="singleLevel"/>
    <w:tmpl w:val="19652B91"/>
    <w:lvl w:ilvl="0" w:tentative="0">
      <w:start w:val="12"/>
      <w:numFmt w:val="chineseCounting"/>
      <w:suff w:val="nothing"/>
      <w:lvlText w:val="%1、"/>
      <w:lvlJc w:val="left"/>
      <w:rPr>
        <w:rFonts w:hint="eastAsia"/>
      </w:rPr>
    </w:lvl>
  </w:abstractNum>
  <w:abstractNum w:abstractNumId="2">
    <w:nsid w:val="62A63AD1"/>
    <w:multiLevelType w:val="singleLevel"/>
    <w:tmpl w:val="62A63AD1"/>
    <w:lvl w:ilvl="0" w:tentative="0">
      <w:start w:val="6"/>
      <w:numFmt w:val="chineseCounting"/>
      <w:suff w:val="nothing"/>
      <w:lvlText w:val="%1、"/>
      <w:lvlJc w:val="left"/>
      <w:rPr>
        <w:rFonts w:hint="eastAsia"/>
      </w:rPr>
    </w:lvl>
  </w:abstractNum>
  <w:abstractNum w:abstractNumId="3">
    <w:nsid w:val="7BECD4E8"/>
    <w:multiLevelType w:val="singleLevel"/>
    <w:tmpl w:val="7BECD4E8"/>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B23010"/>
    <w:rsid w:val="17B23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0" w:firstLineChars="200"/>
      <w:jc w:val="both"/>
    </w:pPr>
    <w:rPr>
      <w:rFonts w:ascii="Times New Roman" w:hAnsi="Times New Roman" w:eastAsia="仿宋" w:cs="Times New Roman"/>
      <w:kern w:val="2"/>
      <w:sz w:val="28"/>
      <w:szCs w:val="24"/>
      <w:lang w:val="en-US" w:eastAsia="zh-CN" w:bidi="ar-SA"/>
    </w:rPr>
  </w:style>
  <w:style w:type="paragraph" w:styleId="3">
    <w:name w:val="heading 2"/>
    <w:basedOn w:val="1"/>
    <w:next w:val="1"/>
    <w:unhideWhenUsed/>
    <w:qFormat/>
    <w:uiPriority w:val="0"/>
    <w:pPr>
      <w:keepNext/>
      <w:keepLines/>
      <w:spacing w:before="120" w:beforeLines="0" w:beforeAutospacing="0" w:after="120" w:afterLines="0" w:afterAutospacing="0" w:line="240" w:lineRule="auto"/>
      <w:outlineLvl w:val="1"/>
    </w:pPr>
    <w:rPr>
      <w:rFonts w:ascii="Arial" w:hAnsi="Arial" w:eastAsia="仿宋"/>
      <w:b/>
      <w:sz w:val="28"/>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2025-05-29T08:12:00Z</dcterms:created>
  <dc:creator>娟</dc:creator>
  <cp:lastModifiedBy>娟</cp:lastModifiedBy>
  <dcterms:modified xsi:type="dcterms:W3CDTF">2025-05-29T08:14:44Z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A42BB6D114B94EA5918FDE83BAA5CE45_11</vt:lpwstr>
  </property>
  <property fmtid="{D5CDD505-2E9C-101B-9397-08002B2CF9AE}" pid="4" name="KSOTemplateDocerSaveRecord">
    <vt:lpwstr>eyJoZGlkIjoiYzkxODI1ODA2NDU2M2ExMjk0ZjkyNWVkNjg5NjExODIiLCJ1c2VySWQiOiIzMjIxNzA4OTMifQ==</vt:lpwstr>
  </property>
</Properties>
</file>