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版本号：GXCZ-C-2557031120250624003</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省交通监测调度平台维护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GXCZ-C-25570311</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省交通监测调度平台维护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GXCZ-C-25570311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省交通监测调度平台维护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本项目需要供应商承担陕西省交通运行监测调度平台通信调度及视频整合系统软硬件运维服务，保障系统全天候正常运行。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采购包1（省交通监测调度平台维护）：属于专门面向中小企业采购。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采购包1：314,600.00元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采购包1：314,600.00元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虚拟账号：30206098009630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本项目需要供应商承担陕西省交通运行监测调度平台</w:t>
      </w:r>
      <w:r>
        <w:rPr>
          <w:rFonts w:ascii="仿宋_GB2312" w:hAnsi="仿宋_GB2312" w:cs="仿宋_GB2312" w:eastAsia="仿宋_GB2312"/>
          <w:sz w:val="21"/>
        </w:rPr>
        <w:t>通信调度及视频整合系统</w:t>
      </w:r>
      <w:r>
        <w:rPr>
          <w:rFonts w:ascii="仿宋_GB2312" w:hAnsi="仿宋_GB2312" w:cs="仿宋_GB2312" w:eastAsia="仿宋_GB2312"/>
          <w:sz w:val="21"/>
        </w:rPr>
        <w:t>软硬件运维服务，保障系统全天候正常运行。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314,600.00</w:t>
      </w:r>
    </w:p>
    <w:p>
      <w:pPr>
        <w:pStyle w:val="null3"/>
      </w:pPr>
      <w:r>
        <w:rPr>
          <w:rFonts w:ascii="仿宋_GB2312" w:hAnsi="仿宋_GB2312" w:cs="仿宋_GB2312" w:eastAsia="仿宋_GB2312"/>
        </w:rPr>
        <w:t>采购包最高限价（元）: 314,600.00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省交通监测调度平台（通信调度及视频整合系统维护）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标的名称：省交通监测调度平台（通信调度及视频整合系统维护）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日常运行维护任务</w:t>
            </w:r>
            <w:r>
              <w:rPr>
                <w:rFonts w:ascii="仿宋_GB2312" w:hAnsi="仿宋_GB2312" w:cs="仿宋_GB2312" w:eastAsia="仿宋_GB2312"/>
                <w:b/>
              </w:rPr>
              <w:t>：</w:t>
            </w:r>
          </w:p>
          <w:p>
            <w:pPr>
              <w:pStyle w:val="null3"/>
            </w:pPr>
            <w:r>
              <w:rPr>
                <w:rFonts w:ascii="仿宋_GB2312" w:hAnsi="仿宋_GB2312" w:cs="仿宋_GB2312" w:eastAsia="仿宋_GB2312"/>
              </w:rPr>
              <w:t>1.</w:t>
            </w:r>
            <w:r>
              <w:rPr>
                <w:rFonts w:ascii="仿宋_GB2312" w:hAnsi="仿宋_GB2312" w:cs="仿宋_GB2312" w:eastAsia="仿宋_GB2312"/>
              </w:rPr>
              <w:t>每日检查应急通信调度系统和视频整合管理平台（平台涉及的所有视频）系统状态，有问题及时向</w:t>
            </w:r>
            <w:r>
              <w:rPr>
                <w:rFonts w:ascii="仿宋_GB2312" w:hAnsi="仿宋_GB2312" w:cs="仿宋_GB2312" w:eastAsia="仿宋_GB2312"/>
              </w:rPr>
              <w:t>采购人</w:t>
            </w:r>
            <w:r>
              <w:rPr>
                <w:rFonts w:ascii="仿宋_GB2312" w:hAnsi="仿宋_GB2312" w:cs="仿宋_GB2312" w:eastAsia="仿宋_GB2312"/>
              </w:rPr>
              <w:t>报备（未报备默认为正常）。</w:t>
            </w:r>
          </w:p>
          <w:p>
            <w:pPr>
              <w:pStyle w:val="null3"/>
            </w:pPr>
            <w:r>
              <w:rPr>
                <w:rFonts w:ascii="仿宋_GB2312" w:hAnsi="仿宋_GB2312" w:cs="仿宋_GB2312" w:eastAsia="仿宋_GB2312"/>
              </w:rPr>
              <w:t>2.</w:t>
            </w:r>
            <w:r>
              <w:rPr>
                <w:rFonts w:ascii="仿宋_GB2312" w:hAnsi="仿宋_GB2312" w:cs="仿宋_GB2312" w:eastAsia="仿宋_GB2312"/>
              </w:rPr>
              <w:t>每月一次，现场对本次范围内所维护的系统设备进行常规检测，并详细记录检测内容和结果。对随时发现的故障和不合理的使用进行解决和纠正。对所有设备进行运行日志分析，发现潜在的硬件故障，并着手对故障进行解决。</w:t>
            </w:r>
          </w:p>
          <w:p>
            <w:pPr>
              <w:pStyle w:val="null3"/>
            </w:pPr>
            <w:r>
              <w:rPr>
                <w:rFonts w:ascii="仿宋_GB2312" w:hAnsi="仿宋_GB2312" w:cs="仿宋_GB2312" w:eastAsia="仿宋_GB2312"/>
              </w:rPr>
              <w:t>3.</w:t>
            </w:r>
            <w:r>
              <w:rPr>
                <w:rFonts w:ascii="仿宋_GB2312" w:hAnsi="仿宋_GB2312" w:cs="仿宋_GB2312" w:eastAsia="仿宋_GB2312"/>
              </w:rPr>
              <w:t>每季度一次派遣技术专家对维护的系统设备进行常规检测，并详细记录检测内容和结果。对发现的故障隐患和不合理内容进行处理。</w:t>
            </w:r>
          </w:p>
          <w:p>
            <w:pPr>
              <w:pStyle w:val="null3"/>
            </w:pPr>
            <w:r>
              <w:rPr>
                <w:rFonts w:ascii="仿宋_GB2312" w:hAnsi="仿宋_GB2312" w:cs="仿宋_GB2312" w:eastAsia="仿宋_GB2312"/>
              </w:rPr>
              <w:t>4.</w:t>
            </w:r>
            <w:r>
              <w:rPr>
                <w:rFonts w:ascii="仿宋_GB2312" w:hAnsi="仿宋_GB2312" w:cs="仿宋_GB2312" w:eastAsia="仿宋_GB2312"/>
              </w:rPr>
              <w:t>对本次维护的所有系统设备的故障排除、运行监测、检测和备件更换等所有操作都应有文字记录；按照《陕西省交通运行监测中心信息化系统运维服务考核办法》，定期提交工作报告，配合完成运维服务考核和验收。</w:t>
            </w:r>
          </w:p>
          <w:p>
            <w:pPr>
              <w:pStyle w:val="null3"/>
            </w:pPr>
            <w:r>
              <w:rPr>
                <w:rFonts w:ascii="仿宋_GB2312" w:hAnsi="仿宋_GB2312" w:cs="仿宋_GB2312" w:eastAsia="仿宋_GB2312"/>
              </w:rPr>
              <w:t>5.</w:t>
            </w:r>
            <w:r>
              <w:rPr>
                <w:rFonts w:ascii="仿宋_GB2312" w:hAnsi="仿宋_GB2312" w:cs="仿宋_GB2312" w:eastAsia="仿宋_GB2312"/>
              </w:rPr>
              <w:t>每月一次，打扫省厅专网机房维护设备所在的机柜内部卫生，每年两次清理硬件设备机箱内部的灰尘</w:t>
            </w:r>
            <w:r>
              <w:rPr>
                <w:rFonts w:ascii="仿宋_GB2312" w:hAnsi="仿宋_GB2312" w:cs="仿宋_GB2312" w:eastAsia="仿宋_GB2312"/>
              </w:rPr>
              <w:t>（</w:t>
            </w:r>
            <w:r>
              <w:rPr>
                <w:rFonts w:ascii="仿宋_GB2312" w:hAnsi="仿宋_GB2312" w:cs="仿宋_GB2312" w:eastAsia="仿宋_GB2312"/>
              </w:rPr>
              <w:t>市级硬件设备每年一次</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年末，提交</w:t>
            </w:r>
            <w:r>
              <w:rPr>
                <w:rFonts w:ascii="仿宋_GB2312" w:hAnsi="仿宋_GB2312" w:cs="仿宋_GB2312" w:eastAsia="仿宋_GB2312"/>
                <w:sz w:val="21"/>
              </w:rPr>
              <w:t>2025</w:t>
            </w:r>
            <w:r>
              <w:rPr>
                <w:rFonts w:ascii="仿宋_GB2312" w:hAnsi="仿宋_GB2312" w:cs="仿宋_GB2312" w:eastAsia="仿宋_GB2312"/>
                <w:sz w:val="21"/>
              </w:rPr>
              <w:t>年度运维报告及下年度运维规划。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量化指标</w:t>
            </w:r>
            <w:r>
              <w:rPr>
                <w:rFonts w:ascii="仿宋_GB2312" w:hAnsi="仿宋_GB2312" w:cs="仿宋_GB2312" w:eastAsia="仿宋_GB2312"/>
                <w:b/>
              </w:rPr>
              <w:t>：</w:t>
            </w:r>
          </w:p>
          <w:p>
            <w:pPr>
              <w:pStyle w:val="null3"/>
            </w:pPr>
            <w:r>
              <w:rPr>
                <w:rFonts w:ascii="仿宋_GB2312" w:hAnsi="仿宋_GB2312" w:cs="仿宋_GB2312" w:eastAsia="仿宋_GB2312"/>
              </w:rPr>
              <w:t>1.</w:t>
            </w:r>
            <w:r>
              <w:rPr>
                <w:rFonts w:ascii="仿宋_GB2312" w:hAnsi="仿宋_GB2312" w:cs="仿宋_GB2312" w:eastAsia="仿宋_GB2312"/>
              </w:rPr>
              <w:t>提供工作日</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小时驻场服务（</w:t>
            </w:r>
            <w:r>
              <w:rPr>
                <w:rFonts w:ascii="仿宋_GB2312" w:hAnsi="仿宋_GB2312" w:cs="仿宋_GB2312" w:eastAsia="仿宋_GB2312"/>
              </w:rPr>
              <w:t>1</w:t>
            </w:r>
            <w:r>
              <w:rPr>
                <w:rFonts w:ascii="仿宋_GB2312" w:hAnsi="仿宋_GB2312" w:cs="仿宋_GB2312" w:eastAsia="仿宋_GB2312"/>
              </w:rPr>
              <w:t>人），根据</w:t>
            </w:r>
            <w:r>
              <w:rPr>
                <w:rFonts w:ascii="仿宋_GB2312" w:hAnsi="仿宋_GB2312" w:cs="仿宋_GB2312" w:eastAsia="仿宋_GB2312"/>
              </w:rPr>
              <w:t>采购人</w:t>
            </w:r>
            <w:r>
              <w:rPr>
                <w:rFonts w:ascii="仿宋_GB2312" w:hAnsi="仿宋_GB2312" w:cs="仿宋_GB2312" w:eastAsia="仿宋_GB2312"/>
              </w:rPr>
              <w:t>要求提供重要时期现场值守服务，并为技术维护岗设置双人</w:t>
            </w:r>
            <w:r>
              <w:rPr>
                <w:rFonts w:ascii="仿宋_GB2312" w:hAnsi="仿宋_GB2312" w:cs="仿宋_GB2312" w:eastAsia="仿宋_GB2312"/>
              </w:rPr>
              <w:t>A</w:t>
            </w:r>
            <w:r>
              <w:rPr>
                <w:rFonts w:ascii="仿宋_GB2312" w:hAnsi="仿宋_GB2312" w:cs="仿宋_GB2312" w:eastAsia="仿宋_GB2312"/>
              </w:rPr>
              <w:t>、</w:t>
            </w:r>
            <w:r>
              <w:rPr>
                <w:rFonts w:ascii="仿宋_GB2312" w:hAnsi="仿宋_GB2312" w:cs="仿宋_GB2312" w:eastAsia="仿宋_GB2312"/>
              </w:rPr>
              <w:t>B</w:t>
            </w:r>
            <w:r>
              <w:rPr>
                <w:rFonts w:ascii="仿宋_GB2312" w:hAnsi="仿宋_GB2312" w:cs="仿宋_GB2312" w:eastAsia="仿宋_GB2312"/>
              </w:rPr>
              <w:t>角色互为备份，全年</w:t>
            </w:r>
            <w:r>
              <w:rPr>
                <w:rFonts w:ascii="仿宋_GB2312" w:hAnsi="仿宋_GB2312" w:cs="仿宋_GB2312" w:eastAsia="仿宋_GB2312"/>
              </w:rPr>
              <w:t>24</w:t>
            </w:r>
            <w:r>
              <w:rPr>
                <w:rFonts w:ascii="仿宋_GB2312" w:hAnsi="仿宋_GB2312" w:cs="仿宋_GB2312" w:eastAsia="仿宋_GB2312"/>
              </w:rPr>
              <w:t>小时实时电话响应。</w:t>
            </w:r>
          </w:p>
          <w:p>
            <w:pPr>
              <w:pStyle w:val="null3"/>
            </w:pPr>
            <w:r>
              <w:rPr>
                <w:rFonts w:ascii="仿宋_GB2312" w:hAnsi="仿宋_GB2312" w:cs="仿宋_GB2312" w:eastAsia="仿宋_GB2312"/>
              </w:rPr>
              <w:t>2.</w:t>
            </w:r>
            <w:r>
              <w:rPr>
                <w:rFonts w:ascii="仿宋_GB2312" w:hAnsi="仿宋_GB2312" w:cs="仿宋_GB2312" w:eastAsia="仿宋_GB2312"/>
              </w:rPr>
              <w:t>对本次范围内维护的系统设备可能随时发生的一般故障，在接到故障申告时起，工作日</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小时内</w:t>
            </w:r>
            <w:r>
              <w:rPr>
                <w:rFonts w:ascii="仿宋_GB2312" w:hAnsi="仿宋_GB2312" w:cs="仿宋_GB2312" w:eastAsia="仿宋_GB2312"/>
              </w:rPr>
              <w:t>5</w:t>
            </w:r>
            <w:r>
              <w:rPr>
                <w:rFonts w:ascii="仿宋_GB2312" w:hAnsi="仿宋_GB2312" w:cs="仿宋_GB2312" w:eastAsia="仿宋_GB2312"/>
              </w:rPr>
              <w:t>分钟响应，非工作日</w:t>
            </w:r>
            <w:r>
              <w:rPr>
                <w:rFonts w:ascii="仿宋_GB2312" w:hAnsi="仿宋_GB2312" w:cs="仿宋_GB2312" w:eastAsia="仿宋_GB2312"/>
              </w:rPr>
              <w:t>1</w:t>
            </w:r>
            <w:r>
              <w:rPr>
                <w:rFonts w:ascii="仿宋_GB2312" w:hAnsi="仿宋_GB2312" w:cs="仿宋_GB2312" w:eastAsia="仿宋_GB2312"/>
              </w:rPr>
              <w:t>小时内到达省厅应急指挥中心，紧急故障在接到故障申告后</w:t>
            </w:r>
            <w:r>
              <w:rPr>
                <w:rFonts w:ascii="仿宋_GB2312" w:hAnsi="仿宋_GB2312" w:cs="仿宋_GB2312" w:eastAsia="仿宋_GB2312"/>
              </w:rPr>
              <w:t>30</w:t>
            </w:r>
            <w:r>
              <w:rPr>
                <w:rFonts w:ascii="仿宋_GB2312" w:hAnsi="仿宋_GB2312" w:cs="仿宋_GB2312" w:eastAsia="仿宋_GB2312"/>
              </w:rPr>
              <w:t>分钟内到达省厅应急指挥中心。</w:t>
            </w:r>
          </w:p>
          <w:p>
            <w:pPr>
              <w:pStyle w:val="null3"/>
            </w:pPr>
            <w:r>
              <w:rPr>
                <w:rFonts w:ascii="仿宋_GB2312" w:hAnsi="仿宋_GB2312" w:cs="仿宋_GB2312" w:eastAsia="仿宋_GB2312"/>
              </w:rPr>
              <w:t>3.</w:t>
            </w:r>
            <w:r>
              <w:rPr>
                <w:rFonts w:ascii="仿宋_GB2312" w:hAnsi="仿宋_GB2312" w:cs="仿宋_GB2312" w:eastAsia="仿宋_GB2312"/>
              </w:rPr>
              <w:t>供应商</w:t>
            </w:r>
            <w:r>
              <w:rPr>
                <w:rFonts w:ascii="仿宋_GB2312" w:hAnsi="仿宋_GB2312" w:cs="仿宋_GB2312" w:eastAsia="仿宋_GB2312"/>
              </w:rPr>
              <w:t>到达故障现场时起，故障诊断时间不超过</w:t>
            </w:r>
            <w:r>
              <w:rPr>
                <w:rFonts w:ascii="仿宋_GB2312" w:hAnsi="仿宋_GB2312" w:cs="仿宋_GB2312" w:eastAsia="仿宋_GB2312"/>
              </w:rPr>
              <w:t>1</w:t>
            </w:r>
            <w:r>
              <w:rPr>
                <w:rFonts w:ascii="仿宋_GB2312" w:hAnsi="仿宋_GB2312" w:cs="仿宋_GB2312" w:eastAsia="仿宋_GB2312"/>
              </w:rPr>
              <w:t>小时。非运营商链路中断造成的故障，系统恢复运行时间不超过</w:t>
            </w:r>
            <w:r>
              <w:rPr>
                <w:rFonts w:ascii="仿宋_GB2312" w:hAnsi="仿宋_GB2312" w:cs="仿宋_GB2312" w:eastAsia="仿宋_GB2312"/>
              </w:rPr>
              <w:t>2</w:t>
            </w:r>
            <w:r>
              <w:rPr>
                <w:rFonts w:ascii="仿宋_GB2312" w:hAnsi="仿宋_GB2312" w:cs="仿宋_GB2312" w:eastAsia="仿宋_GB2312"/>
              </w:rPr>
              <w:t>小时（故障点在西安市以外地区的，在省厅应急指挥中心无法解决故障的，</w:t>
            </w:r>
            <w:r>
              <w:rPr>
                <w:rFonts w:ascii="仿宋_GB2312" w:hAnsi="仿宋_GB2312" w:cs="仿宋_GB2312" w:eastAsia="仿宋_GB2312"/>
              </w:rPr>
              <w:t>48</w:t>
            </w:r>
            <w:r>
              <w:rPr>
                <w:rFonts w:ascii="仿宋_GB2312" w:hAnsi="仿宋_GB2312" w:cs="仿宋_GB2312" w:eastAsia="仿宋_GB2312"/>
              </w:rPr>
              <w:t>小时内到达故障现场并恢复系统运行）。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硬件设备故障返厂维修时间不得超过</w:t>
            </w:r>
            <w:r>
              <w:rPr>
                <w:rFonts w:ascii="仿宋_GB2312" w:hAnsi="仿宋_GB2312" w:cs="仿宋_GB2312" w:eastAsia="仿宋_GB2312"/>
                <w:sz w:val="21"/>
              </w:rPr>
              <w:t>14</w:t>
            </w:r>
            <w:r>
              <w:rPr>
                <w:rFonts w:ascii="仿宋_GB2312" w:hAnsi="仿宋_GB2312" w:cs="仿宋_GB2312" w:eastAsia="仿宋_GB2312"/>
                <w:sz w:val="21"/>
              </w:rPr>
              <w:t>天，设备维修到现场后，安装作业时间不超过</w:t>
            </w:r>
            <w:r>
              <w:rPr>
                <w:rFonts w:ascii="仿宋_GB2312" w:hAnsi="仿宋_GB2312" w:cs="仿宋_GB2312" w:eastAsia="仿宋_GB2312"/>
                <w:sz w:val="21"/>
              </w:rPr>
              <w:t>2</w:t>
            </w:r>
            <w:r>
              <w:rPr>
                <w:rFonts w:ascii="仿宋_GB2312" w:hAnsi="仿宋_GB2312" w:cs="仿宋_GB2312" w:eastAsia="仿宋_GB2312"/>
                <w:sz w:val="21"/>
              </w:rPr>
              <w:t>小时。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维护清单</w:t>
            </w:r>
          </w:p>
          <w:p>
            <w:pPr>
              <w:pStyle w:val="null3"/>
            </w:pPr>
            <w:r>
              <w:rPr>
                <w:rFonts w:ascii="仿宋_GB2312" w:hAnsi="仿宋_GB2312" w:cs="仿宋_GB2312" w:eastAsia="仿宋_GB2312"/>
              </w:rPr>
              <w:t>1.应急通信调度系统</w:t>
            </w:r>
          </w:p>
          <w:tbl>
            <w:tblPr>
              <w:tblBorders>
                <w:top w:val="none" w:color="000000" w:sz="4"/>
                <w:left w:val="none" w:color="000000" w:sz="4"/>
                <w:bottom w:val="none" w:color="000000" w:sz="4"/>
                <w:right w:val="none" w:color="000000" w:sz="4"/>
                <w:insideH w:val="none"/>
                <w:insideV w:val="none"/>
              </w:tblBorders>
            </w:tblPr>
            <w:tblGrid>
              <w:gridCol w:w="279"/>
              <w:gridCol w:w="718"/>
              <w:gridCol w:w="651"/>
              <w:gridCol w:w="1043"/>
              <w:gridCol w:w="245"/>
              <w:gridCol w:w="232"/>
            </w:tblGrid>
            <w:tr>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7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项目名称</w:t>
                  </w:r>
                </w:p>
              </w:tc>
              <w:tc>
                <w:tcPr>
                  <w:tcW w:type="dxa" w:w="6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品</w:t>
                  </w:r>
                  <w:r>
                    <w:rPr>
                      <w:rFonts w:ascii="仿宋_GB2312" w:hAnsi="仿宋_GB2312" w:cs="仿宋_GB2312" w:eastAsia="仿宋_GB2312"/>
                      <w:sz w:val="18"/>
                      <w:b/>
                    </w:rPr>
                    <w:t xml:space="preserve">   </w:t>
                  </w:r>
                  <w:r>
                    <w:rPr>
                      <w:rFonts w:ascii="仿宋_GB2312" w:hAnsi="仿宋_GB2312" w:cs="仿宋_GB2312" w:eastAsia="仿宋_GB2312"/>
                      <w:sz w:val="18"/>
                      <w:b/>
                    </w:rPr>
                    <w:t>牌</w:t>
                  </w:r>
                </w:p>
              </w:tc>
              <w:tc>
                <w:tcPr>
                  <w:tcW w:type="dxa" w:w="10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型</w:t>
                  </w:r>
                  <w:r>
                    <w:rPr>
                      <w:rFonts w:ascii="仿宋_GB2312" w:hAnsi="仿宋_GB2312" w:cs="仿宋_GB2312" w:eastAsia="仿宋_GB2312"/>
                      <w:sz w:val="18"/>
                      <w:b/>
                    </w:rPr>
                    <w:t xml:space="preserve">  </w:t>
                  </w:r>
                  <w:r>
                    <w:rPr>
                      <w:rFonts w:ascii="仿宋_GB2312" w:hAnsi="仿宋_GB2312" w:cs="仿宋_GB2312" w:eastAsia="仿宋_GB2312"/>
                      <w:sz w:val="18"/>
                      <w:b/>
                    </w:rPr>
                    <w:t>号</w:t>
                  </w:r>
                </w:p>
              </w:tc>
              <w:tc>
                <w:tcPr>
                  <w:tcW w:type="dxa" w:w="2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单位</w:t>
                  </w:r>
                </w:p>
              </w:tc>
              <w:tc>
                <w:tcPr>
                  <w:tcW w:type="dxa" w:w="2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数量</w:t>
                  </w:r>
                </w:p>
              </w:tc>
            </w:tr>
            <w:tr>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71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单兵通信系统终端</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创世科技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CR1012P-AD</w:t>
                  </w:r>
                </w:p>
              </w:tc>
              <w:tc>
                <w:tcPr>
                  <w:tcW w:type="dxa" w:w="2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松下</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HC-V380</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伟峰</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WF-6011</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捍卫者</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X300</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通信调度主机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CTS3000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视频调度主机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71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中心通信网关</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来讯</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NC-MG900</w:t>
                  </w:r>
                </w:p>
              </w:tc>
              <w:tc>
                <w:tcPr>
                  <w:tcW w:type="dxa" w:w="2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好会通</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HHT-HC-B</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唯一通信</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EVG110A</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综合网管主机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数字录音主机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电子传真主机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浪潮</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NF5270M4</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短信主机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浪潮</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NF5270M4</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通信预案主机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应急会商主机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11</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即时通信主机</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CTS2000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w:t>
                  </w:r>
                </w:p>
              </w:tc>
              <w:tc>
                <w:tcPr>
                  <w:tcW w:type="dxa" w:w="71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调度台</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惠普</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ProDesk 480MT</w:t>
                  </w:r>
                </w:p>
              </w:tc>
              <w:tc>
                <w:tcPr>
                  <w:tcW w:type="dxa" w:w="2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18</w:t>
                  </w: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长城</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L2378P</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罗技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BCC950</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乐歌</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D2T</w:t>
                  </w:r>
                </w:p>
              </w:tc>
              <w:tc>
                <w:tcPr>
                  <w:tcW w:type="dxa" w:w="245"/>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13</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视频会议终端</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POLYCOM</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Group550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14</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应急会商终端</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亿联</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T49G</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调度软件</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Smart-MDS</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MIDS一体化便捷指挥系统软件V1.0</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MIDS一体化便捷指挥系统软件V1.0</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17</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移动</w:t>
                  </w:r>
                  <w:r>
                    <w:rPr>
                      <w:rFonts w:ascii="仿宋_GB2312" w:hAnsi="仿宋_GB2312" w:cs="仿宋_GB2312" w:eastAsia="仿宋_GB2312"/>
                      <w:sz w:val="18"/>
                    </w:rPr>
                    <w:t>APP软件</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PTTalk</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18</w:t>
                  </w:r>
                </w:p>
              </w:tc>
              <w:tc>
                <w:tcPr>
                  <w:tcW w:type="dxa" w:w="7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外部系统接口</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10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定制开发</w:t>
                  </w:r>
                </w:p>
              </w:tc>
              <w:tc>
                <w:tcPr>
                  <w:tcW w:type="dxa" w:w="2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bl>
          <w:p>
            <w:pPr>
              <w:pStyle w:val="null3"/>
            </w:pPr>
            <w:r>
              <w:rPr>
                <w:rFonts w:ascii="仿宋_GB2312" w:hAnsi="仿宋_GB2312" w:cs="仿宋_GB2312" w:eastAsia="仿宋_GB2312"/>
                <w:sz w:val="21"/>
              </w:rPr>
              <w:t>2</w:t>
            </w:r>
            <w:r>
              <w:rPr>
                <w:rFonts w:ascii="仿宋_GB2312" w:hAnsi="仿宋_GB2312" w:cs="仿宋_GB2312" w:eastAsia="仿宋_GB2312"/>
                <w:sz w:val="18"/>
              </w:rPr>
              <w:t>.视频整合管理平台</w:t>
            </w:r>
          </w:p>
          <w:tbl>
            <w:tblPr>
              <w:tblBorders>
                <w:top w:val="none" w:color="000000" w:sz="4"/>
                <w:left w:val="none" w:color="000000" w:sz="4"/>
                <w:bottom w:val="none" w:color="000000" w:sz="4"/>
                <w:right w:val="none" w:color="000000" w:sz="4"/>
                <w:insideH w:val="none"/>
                <w:insideV w:val="none"/>
              </w:tblBorders>
            </w:tblPr>
            <w:tblGrid>
              <w:gridCol w:w="276"/>
              <w:gridCol w:w="1075"/>
              <w:gridCol w:w="628"/>
              <w:gridCol w:w="616"/>
              <w:gridCol w:w="282"/>
              <w:gridCol w:w="301"/>
            </w:tblGrid>
            <w:tr>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10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项目名称</w:t>
                  </w:r>
                </w:p>
              </w:tc>
              <w:tc>
                <w:tcPr>
                  <w:tcW w:type="dxa" w:w="6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品</w:t>
                  </w:r>
                  <w:r>
                    <w:rPr>
                      <w:rFonts w:ascii="仿宋_GB2312" w:hAnsi="仿宋_GB2312" w:cs="仿宋_GB2312" w:eastAsia="仿宋_GB2312"/>
                      <w:sz w:val="18"/>
                      <w:b/>
                    </w:rPr>
                    <w:t xml:space="preserve">   </w:t>
                  </w:r>
                  <w:r>
                    <w:rPr>
                      <w:rFonts w:ascii="仿宋_GB2312" w:hAnsi="仿宋_GB2312" w:cs="仿宋_GB2312" w:eastAsia="仿宋_GB2312"/>
                      <w:sz w:val="18"/>
                      <w:b/>
                    </w:rPr>
                    <w:t>牌</w:t>
                  </w:r>
                </w:p>
              </w:tc>
              <w:tc>
                <w:tcPr>
                  <w:tcW w:type="dxa" w:w="6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型</w:t>
                  </w:r>
                  <w:r>
                    <w:rPr>
                      <w:rFonts w:ascii="仿宋_GB2312" w:hAnsi="仿宋_GB2312" w:cs="仿宋_GB2312" w:eastAsia="仿宋_GB2312"/>
                      <w:sz w:val="18"/>
                      <w:b/>
                    </w:rPr>
                    <w:t xml:space="preserve">  </w:t>
                  </w:r>
                  <w:r>
                    <w:rPr>
                      <w:rFonts w:ascii="仿宋_GB2312" w:hAnsi="仿宋_GB2312" w:cs="仿宋_GB2312" w:eastAsia="仿宋_GB2312"/>
                      <w:sz w:val="18"/>
                      <w:b/>
                    </w:rPr>
                    <w:t>号</w:t>
                  </w:r>
                </w:p>
              </w:tc>
              <w:tc>
                <w:tcPr>
                  <w:tcW w:type="dxa" w:w="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单位</w:t>
                  </w:r>
                </w:p>
              </w:tc>
              <w:tc>
                <w:tcPr>
                  <w:tcW w:type="dxa" w:w="3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数量</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视频整合平台软件</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VISM-PLAT</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视频接入软件</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VISM-VAS</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流媒体软件</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VISM-MSS</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视频整合平台对接</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定制开发</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视频接入服务器</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浪潮</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NF5270M4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流媒体服务器</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浪潮</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NF5270M4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存储型</w:t>
                  </w:r>
                  <w:r>
                    <w:rPr>
                      <w:rFonts w:ascii="仿宋_GB2312" w:hAnsi="仿宋_GB2312" w:cs="仿宋_GB2312" w:eastAsia="仿宋_GB2312"/>
                      <w:sz w:val="18"/>
                    </w:rPr>
                    <w:t>NVR</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UIG810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存储型</w:t>
                  </w:r>
                  <w:r>
                    <w:rPr>
                      <w:rFonts w:ascii="仿宋_GB2312" w:hAnsi="仿宋_GB2312" w:cs="仿宋_GB2312" w:eastAsia="仿宋_GB2312"/>
                      <w:sz w:val="18"/>
                    </w:rPr>
                    <w:t>NVR</w:t>
                  </w:r>
                  <w:r>
                    <w:rPr>
                      <w:rFonts w:ascii="仿宋_GB2312" w:hAnsi="仿宋_GB2312" w:cs="仿宋_GB2312" w:eastAsia="仿宋_GB2312"/>
                      <w:sz w:val="18"/>
                    </w:rPr>
                    <w:t>（安康）</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UIG810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1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混合式</w:t>
                  </w:r>
                  <w:r>
                    <w:rPr>
                      <w:rFonts w:ascii="仿宋_GB2312" w:hAnsi="仿宋_GB2312" w:cs="仿宋_GB2312" w:eastAsia="仿宋_GB2312"/>
                      <w:sz w:val="18"/>
                    </w:rPr>
                    <w:t>NVR</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惟新科技</w:t>
                  </w:r>
                </w:p>
              </w:tc>
              <w:tc>
                <w:tcPr>
                  <w:tcW w:type="dxa" w:w="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UIG820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提供工作日5×8小时驻场服务（1人），根据采购人要求提供重要时期现场值守服务，并为技术维护岗设置双人A、B角色互为备份，全年24小时实时电话响应。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运行维护服务期为1年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供应商需参加采购人组织的运维单位考核，按照《陕西省交通运行监测中心信息化系统运维服务考核办法》执行。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合同履行期限结束，供应商未能按期完成服务期限的内容，供应商应继续履行自身义务直至符合合同约定。同时从合同履行期限届满之日开始起算，每逾期一天按合同总金额的0.03%向采购人支付违约金。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甲乙双方任何一方违反保密义务的，违约方应向对方支付合同总金额10%的违约金，违约金不足以弥补对方损失的还应当承担补足责任。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安全保密 1.增强人员安全意识，严格按照相关规定操作。 2.签订《陕西省交通运行监测调度平台（通信调度及视频整合系统维护）技术服务保密协议》，确保信息安全。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供应商应满足单一来源采购文件的实质性要求</w:t>
            </w:r>
          </w:p>
        </w:tc>
        <w:tc>
          <w:tcPr>
            <w:tcW w:type="dxa" w:w="1661"/>
          </w:tcPr>
          <w:p>
            <w:pPr>
              <w:pStyle w:val="null3"/>
            </w:pPr>
            <w:r>
              <w:rPr>
                <w:rFonts w:ascii="仿宋_GB2312" w:hAnsi="仿宋_GB2312" w:cs="仿宋_GB2312" w:eastAsia="仿宋_GB2312"/>
              </w:rPr>
              <w:t>响应文件封面 政府采购供应商拒绝政府采购领域商业贿赂承诺书 其他资格证明文件 分项报价表 响应承诺书 中小企业声明函 残疾人福利性单位声明函 报价表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不得存在单一来源采购文件规定的无效情形。</w:t>
            </w:r>
          </w:p>
        </w:tc>
        <w:tc>
          <w:tcPr>
            <w:tcW w:type="dxa" w:w="1661"/>
          </w:tcPr>
          <w:p>
            <w:pPr>
              <w:pStyle w:val="null3"/>
            </w:pPr>
            <w:r>
              <w:rPr>
                <w:rFonts w:ascii="仿宋_GB2312" w:hAnsi="仿宋_GB2312" w:cs="仿宋_GB2312" w:eastAsia="仿宋_GB2312"/>
              </w:rPr>
              <w:t>响应文件封面 政府采购供应商拒绝政府采购领域商业贿赂承诺书 其他资格证明文件 分项报价表 响应承诺书 残疾人福利性单位声明函 中小企业声明函 报价表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政府采购供应商拒绝政府采购领域商业贿赂承诺书 分项报价表 响应承诺书 中小企业声明函 残疾人福利性单位声明函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（3）计量单位、报价货币均符合单一来源采购文件要求；（4） 未超出采购预算或单一来源采购文件规定的最高限价。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详见附件：其他资格证明文件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