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BA00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szCs w:val="32"/>
          <w:highlight w:val="none"/>
          <w:lang w:val="en-US" w:eastAsia="zh-CN"/>
        </w:rPr>
      </w:pPr>
      <w:bookmarkStart w:id="0" w:name="_Toc19916"/>
      <w:bookmarkStart w:id="1" w:name="_Toc23324"/>
      <w:r>
        <w:rPr>
          <w:rFonts w:hint="eastAsia" w:ascii="宋体" w:hAnsi="宋体" w:cs="宋体"/>
          <w:b/>
          <w:bCs/>
          <w:sz w:val="44"/>
          <w:szCs w:val="44"/>
          <w:highlight w:val="none"/>
          <w:u w:val="single"/>
          <w:lang w:eastAsia="zh-CN"/>
        </w:rPr>
        <w:t>（</w:t>
      </w:r>
      <w:r>
        <w:rPr>
          <w:rFonts w:hint="eastAsia" w:ascii="宋体" w:hAnsi="宋体" w:cs="宋体"/>
          <w:b/>
          <w:bCs/>
          <w:sz w:val="44"/>
          <w:szCs w:val="44"/>
          <w:highlight w:val="none"/>
          <w:u w:val="single"/>
          <w:lang w:val="en-US" w:eastAsia="zh-CN"/>
        </w:rPr>
        <w:t>项目名称</w:t>
      </w:r>
      <w:r>
        <w:rPr>
          <w:rFonts w:hint="eastAsia" w:ascii="宋体" w:hAnsi="宋体" w:cs="宋体"/>
          <w:b/>
          <w:bCs/>
          <w:sz w:val="44"/>
          <w:szCs w:val="44"/>
          <w:highlight w:val="none"/>
          <w:u w:val="single"/>
          <w:lang w:eastAsia="zh-CN"/>
        </w:rPr>
        <w:t>）</w:t>
      </w:r>
      <w:r>
        <w:rPr>
          <w:rFonts w:hint="eastAsia" w:ascii="宋体" w:hAnsi="宋体" w:eastAsia="宋体" w:cs="宋体"/>
          <w:b/>
          <w:bCs/>
          <w:sz w:val="44"/>
          <w:szCs w:val="44"/>
          <w:highlight w:val="none"/>
        </w:rPr>
        <w:t>项目</w:t>
      </w:r>
      <w:bookmarkEnd w:id="0"/>
      <w:bookmarkEnd w:id="1"/>
      <w:bookmarkStart w:id="2" w:name="_Toc8687"/>
      <w:bookmarkStart w:id="3" w:name="_Toc28853"/>
    </w:p>
    <w:bookmarkEnd w:id="2"/>
    <w:bookmarkEnd w:id="3"/>
    <w:p w14:paraId="1DC4C514">
      <w:pPr>
        <w:spacing w:line="420" w:lineRule="exact"/>
        <w:ind w:firstLine="480"/>
        <w:jc w:val="center"/>
        <w:outlineLvl w:val="9"/>
        <w:rPr>
          <w:rStyle w:val="9"/>
          <w:rFonts w:hint="eastAsia"/>
        </w:rPr>
      </w:pPr>
    </w:p>
    <w:p w14:paraId="2A0F6676">
      <w:pPr>
        <w:spacing w:line="420" w:lineRule="exact"/>
        <w:ind w:firstLine="480"/>
        <w:jc w:val="center"/>
        <w:outlineLvl w:val="9"/>
        <w:rPr>
          <w:rStyle w:val="9"/>
          <w:rFonts w:hint="eastAsia"/>
        </w:rPr>
      </w:pPr>
    </w:p>
    <w:p w14:paraId="476693CE">
      <w:pPr>
        <w:spacing w:line="420" w:lineRule="exact"/>
        <w:ind w:firstLine="480"/>
        <w:jc w:val="center"/>
        <w:outlineLvl w:val="9"/>
        <w:rPr>
          <w:rStyle w:val="9"/>
          <w:rFonts w:hint="eastAsia"/>
        </w:rPr>
      </w:pPr>
    </w:p>
    <w:p w14:paraId="49095F37">
      <w:pPr>
        <w:spacing w:line="420" w:lineRule="exact"/>
        <w:ind w:firstLine="480"/>
        <w:jc w:val="center"/>
        <w:outlineLvl w:val="9"/>
        <w:rPr>
          <w:rStyle w:val="9"/>
          <w:rFonts w:hint="eastAsia"/>
        </w:rPr>
      </w:pPr>
    </w:p>
    <w:p w14:paraId="77779207">
      <w:pPr>
        <w:spacing w:line="420" w:lineRule="exact"/>
        <w:ind w:firstLine="480"/>
        <w:jc w:val="center"/>
        <w:outlineLvl w:val="9"/>
        <w:rPr>
          <w:rStyle w:val="9"/>
          <w:rFonts w:hint="eastAsia"/>
        </w:rPr>
      </w:pPr>
    </w:p>
    <w:p w14:paraId="5753FDF1">
      <w:pPr>
        <w:spacing w:line="420" w:lineRule="exact"/>
        <w:ind w:firstLine="480"/>
        <w:jc w:val="center"/>
        <w:outlineLvl w:val="9"/>
        <w:rPr>
          <w:rStyle w:val="9"/>
          <w:rFonts w:hint="eastAsia"/>
        </w:rPr>
      </w:pPr>
    </w:p>
    <w:p w14:paraId="5C48F1B2">
      <w:pPr>
        <w:spacing w:line="420" w:lineRule="exact"/>
        <w:ind w:firstLine="480"/>
        <w:jc w:val="center"/>
        <w:outlineLvl w:val="9"/>
        <w:rPr>
          <w:rStyle w:val="9"/>
          <w:rFonts w:hint="eastAsia"/>
        </w:rPr>
      </w:pPr>
    </w:p>
    <w:p w14:paraId="41A404A9">
      <w:pPr>
        <w:spacing w:line="420" w:lineRule="exact"/>
        <w:ind w:firstLine="480"/>
        <w:jc w:val="center"/>
        <w:outlineLvl w:val="9"/>
        <w:rPr>
          <w:rStyle w:val="9"/>
          <w:rFonts w:hint="eastAsia"/>
        </w:rPr>
      </w:pPr>
    </w:p>
    <w:p w14:paraId="09324A1F">
      <w:pPr>
        <w:spacing w:line="420" w:lineRule="exact"/>
        <w:ind w:firstLine="480"/>
        <w:jc w:val="center"/>
        <w:outlineLvl w:val="9"/>
        <w:rPr>
          <w:rStyle w:val="9"/>
          <w:rFonts w:hint="eastAsia"/>
        </w:rPr>
      </w:pPr>
    </w:p>
    <w:p w14:paraId="641916E9">
      <w:pPr>
        <w:spacing w:line="420" w:lineRule="exact"/>
        <w:ind w:firstLine="480"/>
        <w:jc w:val="center"/>
        <w:outlineLvl w:val="9"/>
        <w:rPr>
          <w:rStyle w:val="9"/>
          <w:rFonts w:hint="eastAsia"/>
        </w:rPr>
      </w:pPr>
    </w:p>
    <w:p w14:paraId="513BBF73">
      <w:pPr>
        <w:spacing w:line="420" w:lineRule="exact"/>
        <w:jc w:val="both"/>
        <w:outlineLvl w:val="9"/>
        <w:rPr>
          <w:rStyle w:val="9"/>
          <w:rFonts w:hint="eastAsia"/>
        </w:rPr>
      </w:pPr>
    </w:p>
    <w:p w14:paraId="6E4403A4">
      <w:pPr>
        <w:spacing w:line="420" w:lineRule="exact"/>
        <w:ind w:firstLine="480"/>
        <w:jc w:val="center"/>
        <w:outlineLvl w:val="9"/>
        <w:rPr>
          <w:rStyle w:val="9"/>
          <w:rFonts w:hint="eastAsia"/>
        </w:rPr>
      </w:pPr>
    </w:p>
    <w:p w14:paraId="054DD3A4">
      <w:pPr>
        <w:spacing w:line="420" w:lineRule="exact"/>
        <w:ind w:firstLine="480"/>
        <w:jc w:val="center"/>
        <w:outlineLvl w:val="9"/>
        <w:rPr>
          <w:rStyle w:val="9"/>
          <w:rFonts w:hint="eastAsia"/>
        </w:rPr>
      </w:pPr>
    </w:p>
    <w:p w14:paraId="15F8C12E">
      <w:pPr>
        <w:bidi w:val="0"/>
        <w:jc w:val="center"/>
        <w:rPr>
          <w:rFonts w:hint="eastAsia"/>
          <w:b/>
          <w:bCs/>
          <w:sz w:val="32"/>
          <w:szCs w:val="32"/>
          <w:lang w:eastAsia="zh-CN"/>
        </w:rPr>
      </w:pPr>
      <w:bookmarkStart w:id="4" w:name="_Toc19789"/>
      <w:bookmarkStart w:id="5" w:name="_Toc8702"/>
      <w:r>
        <w:rPr>
          <w:rFonts w:hint="eastAsia"/>
          <w:b/>
          <w:bCs/>
          <w:sz w:val="32"/>
          <w:szCs w:val="32"/>
          <w:lang w:eastAsia="zh-CN"/>
        </w:rPr>
        <w:t>（</w:t>
      </w:r>
      <w:r>
        <w:rPr>
          <w:rFonts w:hint="eastAsia"/>
          <w:b/>
          <w:bCs/>
          <w:sz w:val="32"/>
          <w:szCs w:val="32"/>
          <w:lang w:val="en-US" w:eastAsia="zh-CN"/>
        </w:rPr>
        <w:t>参考文本</w:t>
      </w:r>
      <w:r>
        <w:rPr>
          <w:rFonts w:hint="eastAsia"/>
          <w:b/>
          <w:bCs/>
          <w:sz w:val="32"/>
          <w:szCs w:val="32"/>
          <w:lang w:eastAsia="zh-CN"/>
        </w:rPr>
        <w:t>）</w:t>
      </w:r>
      <w:bookmarkEnd w:id="4"/>
      <w:bookmarkEnd w:id="5"/>
    </w:p>
    <w:p w14:paraId="39A2FC11">
      <w:pPr>
        <w:spacing w:line="420" w:lineRule="exact"/>
        <w:ind w:firstLine="480"/>
        <w:jc w:val="center"/>
        <w:outlineLvl w:val="9"/>
        <w:rPr>
          <w:rStyle w:val="9"/>
          <w:rFonts w:hint="eastAsia" w:eastAsia="宋体"/>
          <w:lang w:eastAsia="zh-CN"/>
        </w:rPr>
      </w:pPr>
    </w:p>
    <w:p w14:paraId="08B3CFC8">
      <w:pPr>
        <w:spacing w:line="420" w:lineRule="exact"/>
        <w:ind w:firstLine="480"/>
        <w:jc w:val="center"/>
        <w:outlineLvl w:val="9"/>
        <w:rPr>
          <w:rStyle w:val="9"/>
          <w:rFonts w:hint="eastAsia" w:eastAsia="宋体"/>
          <w:lang w:eastAsia="zh-CN"/>
        </w:rPr>
      </w:pPr>
    </w:p>
    <w:p w14:paraId="5995C213">
      <w:pPr>
        <w:bidi w:val="0"/>
        <w:jc w:val="center"/>
        <w:rPr>
          <w:rFonts w:hint="default" w:ascii="仿宋" w:hAnsi="仿宋" w:eastAsia="仿宋" w:cs="仿宋"/>
          <w:sz w:val="18"/>
          <w:szCs w:val="21"/>
          <w:highlight w:val="none"/>
          <w:lang w:val="en-US"/>
        </w:rPr>
      </w:pPr>
      <w:r>
        <w:rPr>
          <w:rStyle w:val="9"/>
          <w:rFonts w:hint="eastAsia"/>
        </w:rPr>
        <w:br w:type="page"/>
      </w:r>
      <w:bookmarkStart w:id="6" w:name="_Toc389582037"/>
      <w:bookmarkStart w:id="7" w:name="_Toc31520"/>
      <w:bookmarkStart w:id="8" w:name="_Toc4679"/>
      <w:bookmarkStart w:id="9" w:name="_Toc26595"/>
      <w:bookmarkStart w:id="10" w:name="_Toc423973075"/>
      <w:bookmarkStart w:id="11" w:name="_Toc29888"/>
      <w:bookmarkStart w:id="12" w:name="_Toc19246"/>
      <w:bookmarkStart w:id="13" w:name="_Toc19199"/>
      <w:bookmarkStart w:id="14" w:name="_Toc8333"/>
      <w:r>
        <w:rPr>
          <w:rFonts w:hint="eastAsia" w:ascii="仿宋" w:hAnsi="仿宋" w:cs="仿宋"/>
          <w:b/>
          <w:bCs/>
          <w:sz w:val="40"/>
          <w:szCs w:val="28"/>
          <w:highlight w:val="none"/>
          <w:lang w:eastAsia="zh-CN"/>
        </w:rPr>
        <w:t>服务项目</w:t>
      </w:r>
      <w:r>
        <w:rPr>
          <w:rFonts w:hint="eastAsia" w:ascii="仿宋" w:hAnsi="仿宋" w:cs="仿宋"/>
          <w:b/>
          <w:bCs/>
          <w:sz w:val="40"/>
          <w:szCs w:val="28"/>
          <w:highlight w:val="none"/>
          <w:lang w:val="en-US" w:eastAsia="zh-CN"/>
        </w:rPr>
        <w:t>合同</w:t>
      </w:r>
    </w:p>
    <w:p w14:paraId="0C223414">
      <w:pPr>
        <w:widowControl w:val="0"/>
        <w:spacing w:after="120"/>
        <w:jc w:val="both"/>
        <w:rPr>
          <w:rFonts w:hint="eastAsia" w:ascii="仿宋" w:hAnsi="仿宋" w:eastAsia="仿宋" w:cs="仿宋"/>
          <w:kern w:val="2"/>
          <w:sz w:val="21"/>
          <w:highlight w:val="none"/>
          <w:lang w:val="en-US" w:eastAsia="zh-CN" w:bidi="ar-SA"/>
        </w:rPr>
      </w:pPr>
    </w:p>
    <w:p w14:paraId="096D3621">
      <w:pPr>
        <w:keepNext w:val="0"/>
        <w:keepLines w:val="0"/>
        <w:pageBreakBefore w:val="0"/>
        <w:numPr>
          <w:ilvl w:val="0"/>
          <w:numId w:val="0"/>
        </w:numPr>
        <w:kinsoku/>
        <w:wordWrap/>
        <w:overflowPunct/>
        <w:topLinePunct w:val="0"/>
        <w:autoSpaceDE/>
        <w:autoSpaceDN/>
        <w:bidi w:val="0"/>
        <w:adjustRightInd/>
        <w:spacing w:line="360" w:lineRule="auto"/>
        <w:textAlignment w:val="auto"/>
        <w:rPr>
          <w:rFonts w:hint="eastAsia" w:ascii="宋体" w:hAnsi="宋体" w:eastAsia="宋体" w:cs="宋体"/>
          <w:b/>
          <w:color w:val="000000"/>
          <w:kern w:val="0"/>
          <w:sz w:val="21"/>
          <w:szCs w:val="21"/>
          <w:highlight w:val="none"/>
        </w:rPr>
      </w:pPr>
      <w:r>
        <w:rPr>
          <w:rFonts w:hint="eastAsia" w:ascii="宋体" w:hAnsi="宋体" w:eastAsia="宋体" w:cs="宋体"/>
          <w:b/>
          <w:color w:val="000000"/>
          <w:kern w:val="0"/>
          <w:sz w:val="21"/>
          <w:szCs w:val="21"/>
          <w:highlight w:val="none"/>
        </w:rPr>
        <w:t>合同编号：</w:t>
      </w:r>
      <w:r>
        <w:rPr>
          <w:rFonts w:hint="eastAsia" w:ascii="宋体" w:hAnsi="宋体" w:eastAsia="宋体" w:cs="宋体"/>
          <w:color w:val="000000"/>
          <w:kern w:val="0"/>
          <w:sz w:val="21"/>
          <w:szCs w:val="21"/>
          <w:highlight w:val="none"/>
          <w:u w:val="single"/>
          <w:lang w:val="en-US" w:eastAsia="zh-CN"/>
        </w:rPr>
        <w:t xml:space="preserve">                  </w:t>
      </w:r>
    </w:p>
    <w:p w14:paraId="74E6D94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000000"/>
          <w:kern w:val="0"/>
          <w:sz w:val="21"/>
          <w:szCs w:val="21"/>
          <w:highlight w:val="none"/>
          <w:lang w:val="en-US" w:eastAsia="zh-CN"/>
        </w:rPr>
      </w:pPr>
      <w:r>
        <w:rPr>
          <w:rFonts w:hint="eastAsia" w:ascii="宋体" w:hAnsi="宋体" w:eastAsia="宋体" w:cs="宋体"/>
          <w:color w:val="000000"/>
          <w:kern w:val="0"/>
          <w:sz w:val="21"/>
          <w:szCs w:val="21"/>
          <w:highlight w:val="none"/>
        </w:rPr>
        <w:t>甲方</w:t>
      </w:r>
      <w:r>
        <w:rPr>
          <w:rFonts w:hint="eastAsia" w:ascii="宋体" w:hAnsi="宋体" w:eastAsia="宋体" w:cs="宋体"/>
          <w:color w:val="000000"/>
          <w:kern w:val="0"/>
          <w:sz w:val="21"/>
          <w:szCs w:val="21"/>
          <w:highlight w:val="none"/>
          <w:lang w:eastAsia="zh-CN"/>
        </w:rPr>
        <w:t>（采购人）</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43EB0A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乙方</w:t>
      </w:r>
      <w:r>
        <w:rPr>
          <w:rFonts w:hint="eastAsia" w:ascii="宋体" w:hAnsi="宋体" w:eastAsia="宋体" w:cs="宋体"/>
          <w:color w:val="000000"/>
          <w:kern w:val="0"/>
          <w:sz w:val="21"/>
          <w:szCs w:val="21"/>
          <w:highlight w:val="none"/>
          <w:lang w:eastAsia="zh-CN"/>
        </w:rPr>
        <w:t>（供应商）</w:t>
      </w:r>
      <w:r>
        <w:rPr>
          <w:rFonts w:hint="eastAsia" w:ascii="宋体" w:hAnsi="宋体" w:eastAsia="宋体" w:cs="宋体"/>
          <w:color w:val="000000"/>
          <w:kern w:val="0"/>
          <w:sz w:val="21"/>
          <w:szCs w:val="21"/>
          <w:highlight w:val="none"/>
        </w:rPr>
        <w:t>：</w:t>
      </w:r>
      <w:r>
        <w:rPr>
          <w:rFonts w:hint="eastAsia" w:ascii="宋体" w:hAnsi="宋体" w:eastAsia="宋体" w:cs="宋体"/>
          <w:color w:val="000000"/>
          <w:kern w:val="0"/>
          <w:sz w:val="21"/>
          <w:szCs w:val="21"/>
          <w:highlight w:val="none"/>
          <w:u w:val="single"/>
          <w:lang w:val="en-US" w:eastAsia="zh-CN"/>
        </w:rPr>
        <w:t xml:space="preserve">                  </w:t>
      </w:r>
    </w:p>
    <w:p w14:paraId="282699E6">
      <w:pPr>
        <w:keepNext w:val="0"/>
        <w:keepLines w:val="0"/>
        <w:pageBreakBefore w:val="0"/>
        <w:widowControl w:val="0"/>
        <w:tabs>
          <w:tab w:val="left" w:pos="900"/>
        </w:tabs>
        <w:kinsoku/>
        <w:wordWrap/>
        <w:overflowPunct/>
        <w:topLinePunct w:val="0"/>
        <w:autoSpaceDE/>
        <w:autoSpaceDN/>
        <w:bidi w:val="0"/>
        <w:adjustRightInd/>
        <w:spacing w:line="360" w:lineRule="auto"/>
        <w:ind w:firstLine="472" w:firstLineChars="225"/>
        <w:textAlignment w:val="auto"/>
        <w:rPr>
          <w:rFonts w:hint="default" w:ascii="宋体" w:hAnsi="宋体" w:eastAsia="宋体" w:cs="宋体"/>
          <w:color w:val="000000"/>
          <w:kern w:val="0"/>
          <w:sz w:val="21"/>
          <w:szCs w:val="21"/>
          <w:highlight w:val="none"/>
          <w:lang w:val="en-US" w:eastAsia="zh-CN"/>
        </w:rPr>
      </w:pPr>
      <w:bookmarkStart w:id="15" w:name="_Toc24810"/>
      <w:bookmarkStart w:id="16" w:name="_Toc16824"/>
      <w:r>
        <w:rPr>
          <w:rFonts w:hint="eastAsia" w:ascii="宋体" w:hAnsi="宋体" w:eastAsia="宋体" w:cs="宋体"/>
          <w:color w:val="000000"/>
          <w:kern w:val="0"/>
          <w:sz w:val="21"/>
          <w:szCs w:val="21"/>
          <w:highlight w:val="none"/>
        </w:rPr>
        <w:t>为了保证本合同项目的顺利进行，根据《中华人民共和国</w:t>
      </w:r>
      <w:r>
        <w:rPr>
          <w:rFonts w:hint="eastAsia" w:ascii="宋体" w:hAnsi="宋体" w:eastAsia="宋体" w:cs="宋体"/>
          <w:color w:val="000000"/>
          <w:kern w:val="0"/>
          <w:sz w:val="21"/>
          <w:szCs w:val="21"/>
          <w:highlight w:val="none"/>
          <w:lang w:val="en-US" w:eastAsia="zh-CN"/>
        </w:rPr>
        <w:t>民法典</w:t>
      </w:r>
      <w:r>
        <w:rPr>
          <w:rFonts w:hint="eastAsia" w:ascii="宋体" w:hAnsi="宋体" w:eastAsia="宋体" w:cs="宋体"/>
          <w:color w:val="000000"/>
          <w:kern w:val="0"/>
          <w:sz w:val="21"/>
          <w:szCs w:val="21"/>
          <w:highlight w:val="none"/>
        </w:rPr>
        <w:t>》等相关法律、</w:t>
      </w:r>
      <w:r>
        <w:rPr>
          <w:rFonts w:hint="eastAsia" w:ascii="宋体" w:hAnsi="宋体" w:eastAsia="宋体" w:cs="宋体"/>
          <w:color w:val="000000"/>
          <w:kern w:val="0"/>
          <w:sz w:val="21"/>
          <w:szCs w:val="21"/>
          <w:highlight w:val="none"/>
          <w:lang w:val="en-US" w:eastAsia="zh-CN"/>
        </w:rPr>
        <w:t>法规的规定及甲方关于</w:t>
      </w:r>
      <w:r>
        <w:rPr>
          <w:rFonts w:hint="eastAsia" w:ascii="宋体" w:hAnsi="宋体" w:eastAsia="宋体" w:cs="宋体"/>
          <w:color w:val="000000"/>
          <w:kern w:val="0"/>
          <w:sz w:val="21"/>
          <w:szCs w:val="21"/>
          <w:highlight w:val="none"/>
          <w:u w:val="single"/>
          <w:lang w:val="en-US" w:eastAsia="zh-CN"/>
        </w:rPr>
        <w:t xml:space="preserve">           （项目名称）  </w:t>
      </w:r>
      <w:r>
        <w:rPr>
          <w:rFonts w:hint="eastAsia" w:ascii="宋体" w:hAnsi="宋体" w:eastAsia="宋体" w:cs="宋体"/>
          <w:color w:val="000000"/>
          <w:kern w:val="0"/>
          <w:sz w:val="21"/>
          <w:szCs w:val="21"/>
          <w:highlight w:val="none"/>
          <w:lang w:val="en-US" w:eastAsia="zh-CN"/>
        </w:rPr>
        <w:t>的磋商结果和磋商文件</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lang w:val="en-US" w:eastAsia="zh-CN"/>
        </w:rPr>
        <w:t>的要求，经甲乙双方协商一致，签订本合同，共同遵守。</w:t>
      </w:r>
    </w:p>
    <w:bookmarkEnd w:id="15"/>
    <w:bookmarkEnd w:id="16"/>
    <w:p w14:paraId="7CFFAE56">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一、项目概况：</w:t>
      </w:r>
    </w:p>
    <w:p w14:paraId="0A0422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1、项目名称：</w:t>
      </w:r>
      <w:r>
        <w:rPr>
          <w:rFonts w:hint="eastAsia" w:ascii="宋体" w:hAnsi="宋体" w:cs="宋体"/>
          <w:color w:val="000000"/>
          <w:kern w:val="0"/>
          <w:sz w:val="21"/>
          <w:szCs w:val="21"/>
          <w:highlight w:val="none"/>
          <w:u w:val="single"/>
          <w:lang w:val="en-US" w:eastAsia="zh-CN"/>
        </w:rPr>
        <w:t xml:space="preserve"> 中东欧四国知识产权法律环境概览项目 </w:t>
      </w:r>
      <w:r>
        <w:rPr>
          <w:rFonts w:hint="eastAsia" w:ascii="宋体" w:hAnsi="宋体" w:eastAsia="宋体" w:cs="宋体"/>
          <w:color w:val="000000"/>
          <w:kern w:val="0"/>
          <w:sz w:val="21"/>
          <w:szCs w:val="21"/>
          <w:highlight w:val="none"/>
          <w:lang w:val="en-US" w:eastAsia="zh-CN"/>
        </w:rPr>
        <w:t>；</w:t>
      </w:r>
    </w:p>
    <w:p w14:paraId="5C0926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cs="宋体"/>
          <w:color w:val="000000"/>
          <w:kern w:val="0"/>
          <w:sz w:val="21"/>
          <w:szCs w:val="21"/>
          <w:highlight w:val="none"/>
          <w:u w:val="single"/>
          <w:lang w:val="en-US" w:eastAsia="zh-CN"/>
        </w:rPr>
      </w:pPr>
      <w:r>
        <w:rPr>
          <w:rFonts w:hint="eastAsia" w:ascii="宋体" w:hAnsi="宋体" w:eastAsia="宋体" w:cs="宋体"/>
          <w:color w:val="000000"/>
          <w:kern w:val="0"/>
          <w:sz w:val="21"/>
          <w:szCs w:val="21"/>
          <w:highlight w:val="none"/>
          <w:lang w:val="en-US" w:eastAsia="zh-CN"/>
        </w:rPr>
        <w:t>2、项目内容：对中东欧四国工业产权、标识、版权等主要知识产权种类的基本制度进行调查，确定中东欧四国知识产权保护的边界，及各类型知识产权保护的特点；梳理专利、商标、版权等主要知识产权制度（法律法规）发展沿革，统计历年来中东欧四国相关法律法规修改重点；整理中东欧四国主要知识产权申请流程和途径，梳理海外申请、海外维权的主要途径，确认海牙体系、专利国际条约、巴黎公约等主要知识产权公约的加入情况整合中东欧四国司法救济制度基本情况，例如知识产权复审、诉讼、行政类执法等相关救济机制等内容，完成《中东欧四国知识产权法律环境概览》四册及相应国别的精华版。</w:t>
      </w:r>
    </w:p>
    <w:p w14:paraId="7CE6483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3、项目地点：</w:t>
      </w:r>
      <w:r>
        <w:rPr>
          <w:rFonts w:hint="eastAsia" w:ascii="宋体" w:hAnsi="宋体" w:cs="宋体"/>
          <w:color w:val="000000"/>
          <w:kern w:val="0"/>
          <w:sz w:val="21"/>
          <w:szCs w:val="21"/>
          <w:highlight w:val="none"/>
          <w:u w:val="single"/>
          <w:lang w:val="en-US" w:eastAsia="zh-CN"/>
        </w:rPr>
        <w:t xml:space="preserve">     采购人指定地点          </w:t>
      </w:r>
      <w:r>
        <w:rPr>
          <w:rFonts w:hint="eastAsia" w:ascii="宋体" w:hAnsi="宋体" w:eastAsia="宋体" w:cs="宋体"/>
          <w:color w:val="000000"/>
          <w:kern w:val="0"/>
          <w:sz w:val="21"/>
          <w:szCs w:val="21"/>
          <w:highlight w:val="none"/>
          <w:lang w:val="en-US" w:eastAsia="zh-CN"/>
        </w:rPr>
        <w:t>；</w:t>
      </w:r>
    </w:p>
    <w:p w14:paraId="02137B7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4、服务期限：_____________________________。</w:t>
      </w:r>
    </w:p>
    <w:p w14:paraId="6E94E715">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color w:val="000000"/>
          <w:kern w:val="0"/>
          <w:sz w:val="21"/>
          <w:szCs w:val="21"/>
          <w:highlight w:val="none"/>
          <w:lang w:val="en-US" w:eastAsia="zh-CN"/>
        </w:rPr>
      </w:pPr>
      <w:bookmarkStart w:id="17" w:name="_Toc32760"/>
      <w:bookmarkStart w:id="18" w:name="_Toc2368"/>
      <w:r>
        <w:rPr>
          <w:rFonts w:hint="eastAsia" w:ascii="宋体" w:hAnsi="宋体" w:cs="宋体"/>
          <w:b/>
          <w:color w:val="000000"/>
          <w:kern w:val="0"/>
          <w:sz w:val="21"/>
          <w:szCs w:val="21"/>
          <w:highlight w:val="none"/>
          <w:lang w:val="en-US" w:eastAsia="zh-CN"/>
        </w:rPr>
        <w:t>二</w:t>
      </w:r>
      <w:r>
        <w:rPr>
          <w:rFonts w:hint="eastAsia" w:ascii="宋体" w:hAnsi="宋体" w:eastAsia="宋体" w:cs="宋体"/>
          <w:b/>
          <w:color w:val="000000"/>
          <w:kern w:val="0"/>
          <w:sz w:val="21"/>
          <w:szCs w:val="21"/>
          <w:highlight w:val="none"/>
          <w:lang w:val="en-US" w:eastAsia="zh-CN"/>
        </w:rPr>
        <w:t>.合同组成部分：</w:t>
      </w:r>
      <w:bookmarkEnd w:id="17"/>
      <w:bookmarkEnd w:id="18"/>
    </w:p>
    <w:p w14:paraId="5331690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（1）合同文本及合同补充文件（条款）；</w:t>
      </w:r>
    </w:p>
    <w:p w14:paraId="56B6C2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（2）国家和行业制定的相应的标准和规范； </w:t>
      </w:r>
    </w:p>
    <w:p w14:paraId="7D1213F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（3）磋商文件；</w:t>
      </w:r>
    </w:p>
    <w:p w14:paraId="19F5E4B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（4）成交单位的响应文件；</w:t>
      </w:r>
    </w:p>
    <w:p w14:paraId="1B686B4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（5）货物/服务清单等其他相关附件。</w:t>
      </w:r>
    </w:p>
    <w:p w14:paraId="67C448D7">
      <w:pPr>
        <w:keepNext w:val="0"/>
        <w:keepLines w:val="0"/>
        <w:pageBreakBefore w:val="0"/>
        <w:widowControl w:val="0"/>
        <w:tabs>
          <w:tab w:val="left" w:pos="900"/>
        </w:tabs>
        <w:kinsoku/>
        <w:wordWrap/>
        <w:overflowPunct/>
        <w:topLinePunct w:val="0"/>
        <w:autoSpaceDE/>
        <w:autoSpaceDN/>
        <w:bidi w:val="0"/>
        <w:adjustRightInd/>
        <w:spacing w:line="360" w:lineRule="auto"/>
        <w:ind w:firstLine="422" w:firstLineChars="200"/>
        <w:textAlignment w:val="auto"/>
        <w:rPr>
          <w:rFonts w:hint="eastAsia" w:ascii="宋体" w:hAnsi="宋体" w:cs="宋体"/>
          <w:b/>
          <w:color w:val="000000"/>
          <w:kern w:val="0"/>
          <w:sz w:val="21"/>
          <w:szCs w:val="21"/>
          <w:highlight w:val="none"/>
          <w:lang w:val="en-US" w:eastAsia="zh-CN"/>
        </w:rPr>
      </w:pPr>
      <w:bookmarkStart w:id="19" w:name="_Toc14579"/>
      <w:bookmarkStart w:id="20" w:name="_Toc2258"/>
      <w:r>
        <w:rPr>
          <w:rFonts w:hint="eastAsia" w:ascii="宋体" w:hAnsi="宋体" w:cs="宋体"/>
          <w:b/>
          <w:color w:val="000000"/>
          <w:kern w:val="0"/>
          <w:sz w:val="21"/>
          <w:szCs w:val="21"/>
          <w:highlight w:val="none"/>
          <w:lang w:val="en-US" w:eastAsia="zh-CN"/>
        </w:rPr>
        <w:t>三、合同总价及付款：</w:t>
      </w:r>
    </w:p>
    <w:p w14:paraId="2964C96C">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1、合同总价（大写）：______________________（¥___________）；</w:t>
      </w:r>
    </w:p>
    <w:p w14:paraId="6F5A8FA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合同总价即成交价</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本条约定的费用为本项目全部价款，除此之外，甲方无需再向乙方支付任何费用，如产生其他费用均由乙方自行承担。合同价格为含税价，供应商提供服务发生的一切税（包括增值税）费等都已包含于合同价款中。</w:t>
      </w:r>
      <w:bookmarkStart w:id="33" w:name="_GoBack"/>
      <w:bookmarkEnd w:id="33"/>
    </w:p>
    <w:p w14:paraId="2FAE5DC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附分项清单</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lang w:val="en-US" w:eastAsia="zh-CN"/>
        </w:rPr>
        <w:t>如有</w:t>
      </w:r>
      <w:r>
        <w:rPr>
          <w:rFonts w:hint="eastAsia" w:ascii="宋体" w:hAnsi="宋体" w:eastAsia="宋体" w:cs="宋体"/>
          <w:kern w:val="0"/>
          <w:sz w:val="21"/>
          <w:szCs w:val="21"/>
          <w:shd w:val="clear" w:color="auto" w:fill="FFFFFF"/>
          <w:lang w:eastAsia="zh-CN"/>
        </w:rPr>
        <w:t>）</w:t>
      </w:r>
      <w:r>
        <w:rPr>
          <w:rFonts w:hint="eastAsia" w:ascii="宋体" w:hAnsi="宋体" w:eastAsia="宋体" w:cs="宋体"/>
          <w:kern w:val="0"/>
          <w:sz w:val="21"/>
          <w:szCs w:val="21"/>
          <w:shd w:val="clear" w:color="auto" w:fill="FFFFFF"/>
        </w:rPr>
        <w:t>：</w:t>
      </w:r>
    </w:p>
    <w:tbl>
      <w:tblPr>
        <w:tblStyle w:val="6"/>
        <w:tblpPr w:leftFromText="180" w:rightFromText="180" w:vertAnchor="text" w:tblpXSpec="center" w:tblpY="1"/>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87"/>
        <w:gridCol w:w="717"/>
        <w:gridCol w:w="2667"/>
        <w:gridCol w:w="714"/>
        <w:gridCol w:w="714"/>
        <w:gridCol w:w="2074"/>
      </w:tblGrid>
      <w:tr w14:paraId="7F4D8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7A917F2E">
            <w:pPr>
              <w:widowControl/>
              <w:wordWrap w:val="0"/>
              <w:spacing w:line="480" w:lineRule="exact"/>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序号</w:t>
            </w:r>
          </w:p>
        </w:tc>
        <w:tc>
          <w:tcPr>
            <w:tcW w:w="960" w:type="pct"/>
            <w:gridSpan w:val="2"/>
            <w:vAlign w:val="center"/>
          </w:tcPr>
          <w:p w14:paraId="7B5C6D14">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名称</w:t>
            </w:r>
          </w:p>
        </w:tc>
        <w:tc>
          <w:tcPr>
            <w:tcW w:w="1574" w:type="pct"/>
            <w:vAlign w:val="center"/>
          </w:tcPr>
          <w:p w14:paraId="772D8967">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6DD8E85D">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31A6B3D">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BCDF55D">
            <w:pPr>
              <w:widowControl/>
              <w:wordWrap w:val="0"/>
              <w:spacing w:line="480" w:lineRule="exact"/>
              <w:ind w:firstLine="425"/>
              <w:rPr>
                <w:rFonts w:ascii="宋体" w:hAnsi="宋体" w:eastAsia="宋体" w:cs="宋体"/>
                <w:kern w:val="0"/>
                <w:sz w:val="21"/>
                <w:szCs w:val="21"/>
                <w:shd w:val="clear" w:color="auto" w:fill="FFFFFF"/>
              </w:rPr>
            </w:pPr>
          </w:p>
        </w:tc>
      </w:tr>
      <w:tr w14:paraId="28BD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1DF18295">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1</w:t>
            </w:r>
          </w:p>
        </w:tc>
        <w:tc>
          <w:tcPr>
            <w:tcW w:w="960" w:type="pct"/>
            <w:gridSpan w:val="2"/>
            <w:vAlign w:val="center"/>
          </w:tcPr>
          <w:p w14:paraId="2A212611">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F09CFF3">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1FA871A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0BA1FFA8">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E14EC20">
            <w:pPr>
              <w:widowControl/>
              <w:wordWrap w:val="0"/>
              <w:spacing w:line="480" w:lineRule="exact"/>
              <w:ind w:firstLine="425"/>
              <w:rPr>
                <w:rFonts w:ascii="宋体" w:hAnsi="宋体" w:eastAsia="宋体" w:cs="宋体"/>
                <w:kern w:val="0"/>
                <w:sz w:val="21"/>
                <w:szCs w:val="21"/>
                <w:shd w:val="clear" w:color="auto" w:fill="FFFFFF"/>
              </w:rPr>
            </w:pPr>
          </w:p>
        </w:tc>
      </w:tr>
      <w:tr w14:paraId="0293D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40" w:hRule="atLeast"/>
        </w:trPr>
        <w:tc>
          <w:tcPr>
            <w:tcW w:w="383" w:type="pct"/>
            <w:vAlign w:val="center"/>
          </w:tcPr>
          <w:p w14:paraId="100D8E92">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2</w:t>
            </w:r>
          </w:p>
        </w:tc>
        <w:tc>
          <w:tcPr>
            <w:tcW w:w="960" w:type="pct"/>
            <w:gridSpan w:val="2"/>
            <w:vAlign w:val="center"/>
          </w:tcPr>
          <w:p w14:paraId="0C35141F">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333A9E1E">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E3ED2C2">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14BE5651">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18885DC1">
            <w:pPr>
              <w:widowControl/>
              <w:wordWrap w:val="0"/>
              <w:spacing w:line="480" w:lineRule="exact"/>
              <w:ind w:firstLine="425"/>
              <w:rPr>
                <w:rFonts w:ascii="宋体" w:hAnsi="宋体" w:eastAsia="宋体" w:cs="宋体"/>
                <w:kern w:val="0"/>
                <w:sz w:val="21"/>
                <w:szCs w:val="21"/>
                <w:shd w:val="clear" w:color="auto" w:fill="FFFFFF"/>
              </w:rPr>
            </w:pPr>
          </w:p>
        </w:tc>
      </w:tr>
      <w:tr w14:paraId="6D9F8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383" w:type="pct"/>
            <w:vAlign w:val="center"/>
          </w:tcPr>
          <w:p w14:paraId="503B014C">
            <w:pPr>
              <w:widowControl/>
              <w:wordWrap w:val="0"/>
              <w:spacing w:line="480" w:lineRule="exact"/>
              <w:ind w:firstLine="425"/>
              <w:rPr>
                <w:rFonts w:ascii="宋体" w:hAnsi="宋体" w:eastAsia="宋体" w:cs="宋体"/>
                <w:kern w:val="0"/>
                <w:sz w:val="21"/>
                <w:szCs w:val="21"/>
                <w:shd w:val="clear" w:color="auto" w:fill="FFFFFF"/>
              </w:rPr>
            </w:pPr>
          </w:p>
        </w:tc>
        <w:tc>
          <w:tcPr>
            <w:tcW w:w="960" w:type="pct"/>
            <w:gridSpan w:val="2"/>
            <w:vAlign w:val="center"/>
          </w:tcPr>
          <w:p w14:paraId="5AEBE1B7">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w:t>
            </w:r>
          </w:p>
        </w:tc>
        <w:tc>
          <w:tcPr>
            <w:tcW w:w="1574" w:type="pct"/>
            <w:vAlign w:val="center"/>
          </w:tcPr>
          <w:p w14:paraId="47E1EDBC">
            <w:pPr>
              <w:widowControl/>
              <w:wordWrap w:val="0"/>
              <w:spacing w:line="480" w:lineRule="exact"/>
              <w:ind w:firstLine="425"/>
              <w:rPr>
                <w:rFonts w:ascii="宋体" w:hAnsi="宋体" w:eastAsia="宋体" w:cs="宋体"/>
                <w:kern w:val="0"/>
                <w:sz w:val="21"/>
                <w:szCs w:val="21"/>
                <w:shd w:val="clear" w:color="auto" w:fill="FFFFFF"/>
              </w:rPr>
            </w:pPr>
          </w:p>
        </w:tc>
        <w:tc>
          <w:tcPr>
            <w:tcW w:w="428" w:type="pct"/>
          </w:tcPr>
          <w:p w14:paraId="4FE466A4">
            <w:pPr>
              <w:widowControl/>
              <w:wordWrap w:val="0"/>
              <w:spacing w:line="480" w:lineRule="exact"/>
              <w:ind w:firstLine="425"/>
              <w:rPr>
                <w:rFonts w:ascii="宋体" w:hAnsi="宋体" w:eastAsia="宋体" w:cs="宋体"/>
                <w:kern w:val="0"/>
                <w:sz w:val="21"/>
                <w:szCs w:val="21"/>
                <w:shd w:val="clear" w:color="auto" w:fill="FFFFFF"/>
              </w:rPr>
            </w:pPr>
          </w:p>
        </w:tc>
        <w:tc>
          <w:tcPr>
            <w:tcW w:w="428" w:type="pct"/>
            <w:vAlign w:val="center"/>
          </w:tcPr>
          <w:p w14:paraId="381B6857">
            <w:pPr>
              <w:widowControl/>
              <w:wordWrap w:val="0"/>
              <w:spacing w:line="480" w:lineRule="exact"/>
              <w:ind w:firstLine="425"/>
              <w:rPr>
                <w:rFonts w:ascii="宋体" w:hAnsi="宋体" w:eastAsia="宋体" w:cs="宋体"/>
                <w:kern w:val="0"/>
                <w:sz w:val="21"/>
                <w:szCs w:val="21"/>
                <w:shd w:val="clear" w:color="auto" w:fill="FFFFFF"/>
              </w:rPr>
            </w:pPr>
          </w:p>
        </w:tc>
        <w:tc>
          <w:tcPr>
            <w:tcW w:w="1223" w:type="pct"/>
            <w:vAlign w:val="center"/>
          </w:tcPr>
          <w:p w14:paraId="0E10EB2D">
            <w:pPr>
              <w:widowControl/>
              <w:wordWrap w:val="0"/>
              <w:spacing w:line="480" w:lineRule="exact"/>
              <w:ind w:firstLine="425"/>
              <w:rPr>
                <w:rFonts w:ascii="宋体" w:hAnsi="宋体" w:eastAsia="宋体" w:cs="宋体"/>
                <w:kern w:val="0"/>
                <w:sz w:val="21"/>
                <w:szCs w:val="21"/>
                <w:shd w:val="clear" w:color="auto" w:fill="FFFFFF"/>
              </w:rPr>
            </w:pPr>
          </w:p>
        </w:tc>
      </w:tr>
      <w:tr w14:paraId="21B8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3576FC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合计</w:t>
            </w:r>
          </w:p>
        </w:tc>
        <w:tc>
          <w:tcPr>
            <w:tcW w:w="4086" w:type="pct"/>
            <w:gridSpan w:val="5"/>
            <w:vAlign w:val="center"/>
          </w:tcPr>
          <w:p w14:paraId="7DFA80D0">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大写：                                        小写：</w:t>
            </w:r>
          </w:p>
        </w:tc>
      </w:tr>
      <w:tr w14:paraId="3BA5A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913" w:type="pct"/>
            <w:gridSpan w:val="2"/>
            <w:vAlign w:val="center"/>
          </w:tcPr>
          <w:p w14:paraId="294D17BA">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备注</w:t>
            </w:r>
          </w:p>
        </w:tc>
        <w:tc>
          <w:tcPr>
            <w:tcW w:w="4086" w:type="pct"/>
            <w:gridSpan w:val="5"/>
            <w:vAlign w:val="center"/>
          </w:tcPr>
          <w:p w14:paraId="389152D3">
            <w:pPr>
              <w:widowControl/>
              <w:wordWrap w:val="0"/>
              <w:spacing w:line="480" w:lineRule="exact"/>
              <w:ind w:firstLine="425"/>
              <w:rPr>
                <w:rFonts w:ascii="宋体" w:hAnsi="宋体" w:eastAsia="宋体" w:cs="宋体"/>
                <w:kern w:val="0"/>
                <w:sz w:val="21"/>
                <w:szCs w:val="21"/>
                <w:shd w:val="clear" w:color="auto" w:fill="FFFFFF"/>
              </w:rPr>
            </w:pPr>
            <w:r>
              <w:rPr>
                <w:rFonts w:hint="eastAsia" w:ascii="宋体" w:hAnsi="宋体" w:eastAsia="宋体" w:cs="宋体"/>
                <w:kern w:val="0"/>
                <w:sz w:val="21"/>
                <w:szCs w:val="21"/>
                <w:shd w:val="clear" w:color="auto" w:fill="FFFFFF"/>
              </w:rPr>
              <w:t>保留小数点后两位。</w:t>
            </w:r>
          </w:p>
        </w:tc>
      </w:tr>
    </w:tbl>
    <w:p w14:paraId="69A441E4">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2、付款方式：①合同签订后支付总价款的80%，所有工作完成并验收合格支付合同总价款20%。</w:t>
      </w:r>
    </w:p>
    <w:p w14:paraId="58DBB65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 xml:space="preserve">②供应商应根据采购人需要提供等额正规发票给采购人； </w:t>
      </w:r>
    </w:p>
    <w:p w14:paraId="5BF17088">
      <w:pPr>
        <w:keepNext w:val="0"/>
        <w:keepLines w:val="0"/>
        <w:pageBreakBefore w:val="0"/>
        <w:widowControl w:val="0"/>
        <w:shd w:val="clear"/>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③如因供应商责任而造成延期，每超过一天按合同总价款的0.1‰支付采购人误期赔偿金；</w:t>
      </w:r>
    </w:p>
    <w:p w14:paraId="1E88CB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④支付方式：银行转账。</w:t>
      </w:r>
    </w:p>
    <w:p w14:paraId="1A8AF22D">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四、服务要求</w:t>
      </w:r>
    </w:p>
    <w:p w14:paraId="564276D2">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交付的服务内容与响应文件、竞争性磋商文件等所指明的，或者与本合同所指明的服务内容相一致。</w:t>
      </w:r>
    </w:p>
    <w:p w14:paraId="4CDC045F">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cs="宋体"/>
          <w:b/>
          <w:color w:val="000000"/>
          <w:kern w:val="0"/>
          <w:sz w:val="21"/>
          <w:szCs w:val="21"/>
          <w:highlight w:val="none"/>
          <w:lang w:val="en-US" w:eastAsia="zh-CN"/>
        </w:rPr>
      </w:pPr>
      <w:r>
        <w:rPr>
          <w:rFonts w:hint="eastAsia" w:ascii="宋体" w:hAnsi="宋体" w:cs="宋体"/>
          <w:b/>
          <w:color w:val="000000"/>
          <w:kern w:val="0"/>
          <w:sz w:val="21"/>
          <w:szCs w:val="21"/>
          <w:highlight w:val="none"/>
          <w:lang w:val="en-US" w:eastAsia="zh-CN"/>
        </w:rPr>
        <w:t>五、质量保证</w:t>
      </w:r>
    </w:p>
    <w:p w14:paraId="017A28F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质量标准：符合国家相关标准及采购人要求。</w:t>
      </w:r>
    </w:p>
    <w:p w14:paraId="681D02A5">
      <w:pPr>
        <w:keepNext w:val="0"/>
        <w:keepLines w:val="0"/>
        <w:pageBreakBefore w:val="0"/>
        <w:widowControl w:val="0"/>
        <w:tabs>
          <w:tab w:val="left" w:pos="5865"/>
        </w:tabs>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六、</w:t>
      </w:r>
      <w:r>
        <w:rPr>
          <w:rFonts w:hint="eastAsia" w:ascii="宋体" w:hAnsi="宋体" w:eastAsia="宋体" w:cs="宋体"/>
          <w:b/>
          <w:color w:val="000000"/>
          <w:kern w:val="0"/>
          <w:sz w:val="21"/>
          <w:szCs w:val="21"/>
          <w:highlight w:val="none"/>
        </w:rPr>
        <w:t>双方权利和义务</w:t>
      </w:r>
      <w:bookmarkEnd w:id="19"/>
      <w:bookmarkEnd w:id="20"/>
      <w:r>
        <w:rPr>
          <w:rFonts w:hint="eastAsia" w:ascii="宋体" w:hAnsi="宋体" w:eastAsia="宋体" w:cs="宋体"/>
          <w:b/>
          <w:color w:val="000000"/>
          <w:kern w:val="0"/>
          <w:sz w:val="21"/>
          <w:szCs w:val="21"/>
          <w:highlight w:val="none"/>
        </w:rPr>
        <w:tab/>
      </w:r>
    </w:p>
    <w:p w14:paraId="78EAD1FE">
      <w:pPr>
        <w:keepNext w:val="0"/>
        <w:keepLines w:val="0"/>
        <w:pageBreakBefore w:val="0"/>
        <w:widowControl w:val="0"/>
        <w:tabs>
          <w:tab w:val="left" w:pos="5865"/>
        </w:tabs>
        <w:kinsoku/>
        <w:wordWrap/>
        <w:overflowPunct/>
        <w:topLinePunct w:val="0"/>
        <w:bidi w:val="0"/>
        <w:spacing w:line="360" w:lineRule="auto"/>
        <w:ind w:firstLine="420" w:firstLineChars="200"/>
        <w:textAlignment w:val="auto"/>
        <w:rPr>
          <w:rFonts w:hint="eastAsia" w:ascii="宋体" w:hAnsi="宋体" w:eastAsia="宋体" w:cs="宋体"/>
          <w:b/>
          <w:color w:val="000000"/>
          <w:kern w:val="0"/>
          <w:sz w:val="21"/>
          <w:szCs w:val="21"/>
          <w:highlight w:val="none"/>
        </w:rPr>
      </w:pPr>
      <w:r>
        <w:rPr>
          <w:rFonts w:hint="eastAsia" w:ascii="宋体" w:hAnsi="宋体" w:cs="宋体"/>
          <w:color w:val="000000"/>
          <w:kern w:val="0"/>
          <w:sz w:val="21"/>
          <w:szCs w:val="21"/>
          <w:highlight w:val="none"/>
          <w:lang w:val="en-US" w:eastAsia="zh-CN"/>
        </w:rPr>
        <w:t>6</w:t>
      </w:r>
      <w:r>
        <w:rPr>
          <w:rFonts w:hint="eastAsia" w:ascii="宋体" w:hAnsi="宋体" w:eastAsia="宋体" w:cs="宋体"/>
          <w:color w:val="000000"/>
          <w:kern w:val="0"/>
          <w:sz w:val="21"/>
          <w:szCs w:val="21"/>
          <w:highlight w:val="none"/>
        </w:rPr>
        <w:t>.1</w:t>
      </w:r>
      <w:r>
        <w:rPr>
          <w:rFonts w:hint="eastAsia" w:ascii="宋体" w:hAnsi="宋体" w:eastAsia="宋体" w:cs="宋体"/>
          <w:b/>
          <w:color w:val="000000"/>
          <w:kern w:val="0"/>
          <w:sz w:val="21"/>
          <w:szCs w:val="21"/>
          <w:highlight w:val="none"/>
        </w:rPr>
        <w:t>甲方权利与义务：</w:t>
      </w:r>
    </w:p>
    <w:p w14:paraId="3D56BE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6.1.1</w:t>
      </w:r>
      <w:r>
        <w:rPr>
          <w:rFonts w:hint="eastAsia" w:ascii="宋体" w:hAnsi="宋体" w:eastAsia="宋体" w:cs="宋体"/>
          <w:color w:val="000000"/>
          <w:kern w:val="0"/>
          <w:sz w:val="21"/>
          <w:szCs w:val="21"/>
          <w:highlight w:val="none"/>
          <w:lang w:val="en-US" w:eastAsia="zh-CN"/>
        </w:rPr>
        <w:t>甲方有权对合同规定范围内乙方的服务行为进行监督和检查，拥有监管权。有权定期核对乙方提供服务所配备的人员数量。对甲方认为不合理的部分有权下达整改通知书，并要求乙方限期整改。</w:t>
      </w:r>
    </w:p>
    <w:p w14:paraId="3FA8E30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6.1.2</w:t>
      </w:r>
      <w:r>
        <w:rPr>
          <w:rFonts w:hint="eastAsia" w:ascii="宋体" w:hAnsi="宋体" w:eastAsia="宋体" w:cs="宋体"/>
          <w:color w:val="000000"/>
          <w:kern w:val="0"/>
          <w:sz w:val="21"/>
          <w:szCs w:val="21"/>
          <w:highlight w:val="none"/>
          <w:lang w:val="en-US" w:eastAsia="zh-CN"/>
        </w:rPr>
        <w:t>甲方有权对乙方提供的服务进行定期考评。当考评结果未达到标准时，甲方有权要求乙方做出整改；若乙方整改依旧无法通过考评，则甲方有权要求赔偿。</w:t>
      </w:r>
    </w:p>
    <w:p w14:paraId="5BA796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6.1.3</w:t>
      </w:r>
      <w:r>
        <w:rPr>
          <w:rFonts w:hint="eastAsia" w:ascii="宋体" w:hAnsi="宋体" w:eastAsia="宋体" w:cs="宋体"/>
          <w:color w:val="000000"/>
          <w:kern w:val="0"/>
          <w:sz w:val="21"/>
          <w:szCs w:val="21"/>
          <w:highlight w:val="none"/>
          <w:lang w:val="en-US" w:eastAsia="zh-CN"/>
        </w:rPr>
        <w:t>负责检查监督乙方管理工作的实施及制度的执行情况。</w:t>
      </w:r>
    </w:p>
    <w:p w14:paraId="29660F7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6.1.4</w:t>
      </w:r>
      <w:r>
        <w:rPr>
          <w:rFonts w:hint="eastAsia" w:ascii="宋体" w:hAnsi="宋体" w:eastAsia="宋体" w:cs="宋体"/>
          <w:color w:val="000000"/>
          <w:kern w:val="0"/>
          <w:sz w:val="21"/>
          <w:szCs w:val="21"/>
          <w:highlight w:val="none"/>
          <w:lang w:val="en-US" w:eastAsia="zh-CN"/>
        </w:rPr>
        <w:t>根据本合同规定，按时向乙方支付应付服务费用。</w:t>
      </w:r>
    </w:p>
    <w:p w14:paraId="2626B31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6.1.5</w:t>
      </w:r>
      <w:r>
        <w:rPr>
          <w:rFonts w:hint="eastAsia" w:ascii="宋体" w:hAnsi="宋体" w:eastAsia="宋体" w:cs="宋体"/>
          <w:color w:val="000000"/>
          <w:kern w:val="0"/>
          <w:sz w:val="21"/>
          <w:szCs w:val="21"/>
          <w:highlight w:val="none"/>
          <w:lang w:val="en-US" w:eastAsia="zh-CN"/>
        </w:rPr>
        <w:t>甲方应及时向乙方提供相关资料，协助乙方办理有关事宜。</w:t>
      </w:r>
    </w:p>
    <w:p w14:paraId="2227B0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6.1.6</w:t>
      </w:r>
      <w:r>
        <w:rPr>
          <w:rFonts w:hint="eastAsia" w:ascii="宋体" w:hAnsi="宋体" w:eastAsia="宋体" w:cs="宋体"/>
          <w:color w:val="000000"/>
          <w:kern w:val="0"/>
          <w:sz w:val="21"/>
          <w:szCs w:val="21"/>
          <w:highlight w:val="none"/>
          <w:lang w:val="en-US" w:eastAsia="zh-CN"/>
        </w:rPr>
        <w:t>对合同条款及所知悉的乙方商业秘密负有保密义务。</w:t>
      </w:r>
    </w:p>
    <w:p w14:paraId="0A1AF61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6.1.7</w:t>
      </w:r>
      <w:r>
        <w:rPr>
          <w:rFonts w:hint="eastAsia" w:ascii="宋体" w:hAnsi="宋体" w:eastAsia="宋体" w:cs="宋体"/>
          <w:color w:val="000000"/>
          <w:kern w:val="0"/>
          <w:sz w:val="21"/>
          <w:szCs w:val="21"/>
          <w:highlight w:val="none"/>
          <w:lang w:val="en-US" w:eastAsia="zh-CN"/>
        </w:rPr>
        <w:t>国家法律、法规所规定由甲方承担的其它责任。。</w:t>
      </w:r>
    </w:p>
    <w:p w14:paraId="620F2A28">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color w:val="000000"/>
          <w:kern w:val="0"/>
          <w:sz w:val="21"/>
          <w:szCs w:val="21"/>
          <w:highlight w:val="none"/>
        </w:rPr>
      </w:pPr>
      <w:r>
        <w:rPr>
          <w:rFonts w:hint="eastAsia" w:ascii="宋体" w:hAnsi="宋体" w:cs="宋体"/>
          <w:b/>
          <w:color w:val="000000"/>
          <w:kern w:val="0"/>
          <w:sz w:val="21"/>
          <w:szCs w:val="21"/>
          <w:highlight w:val="none"/>
          <w:lang w:val="en-US" w:eastAsia="zh-CN"/>
        </w:rPr>
        <w:t>6</w:t>
      </w:r>
      <w:r>
        <w:rPr>
          <w:rFonts w:hint="eastAsia" w:ascii="宋体" w:hAnsi="宋体" w:eastAsia="宋体" w:cs="宋体"/>
          <w:b/>
          <w:color w:val="000000"/>
          <w:kern w:val="0"/>
          <w:sz w:val="21"/>
          <w:szCs w:val="21"/>
          <w:highlight w:val="none"/>
        </w:rPr>
        <w:t>.2 乙方权利与义务：</w:t>
      </w:r>
    </w:p>
    <w:p w14:paraId="047359E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6.2.1</w:t>
      </w:r>
      <w:r>
        <w:rPr>
          <w:rFonts w:hint="eastAsia" w:ascii="宋体" w:hAnsi="宋体" w:eastAsia="宋体" w:cs="宋体"/>
          <w:color w:val="000000"/>
          <w:kern w:val="0"/>
          <w:sz w:val="21"/>
          <w:szCs w:val="21"/>
          <w:highlight w:val="none"/>
          <w:lang w:val="en-US" w:eastAsia="zh-CN"/>
        </w:rPr>
        <w:t>对本合同规定的委托服务范围内的项目享有管理权及服务义务。</w:t>
      </w:r>
    </w:p>
    <w:p w14:paraId="1B76707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6.2.2</w:t>
      </w:r>
      <w:r>
        <w:rPr>
          <w:rFonts w:hint="eastAsia" w:ascii="宋体" w:hAnsi="宋体" w:eastAsia="宋体" w:cs="宋体"/>
          <w:color w:val="000000"/>
          <w:kern w:val="0"/>
          <w:sz w:val="21"/>
          <w:szCs w:val="21"/>
          <w:highlight w:val="none"/>
          <w:lang w:val="en-US" w:eastAsia="zh-CN"/>
        </w:rPr>
        <w:t>根据本合同的规定向甲方收取相关服务费用，并有权在本项目管理范围内管理及合理使用。</w:t>
      </w:r>
    </w:p>
    <w:p w14:paraId="521779B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6.2.3</w:t>
      </w:r>
      <w:r>
        <w:rPr>
          <w:rFonts w:hint="eastAsia" w:ascii="宋体" w:hAnsi="宋体" w:eastAsia="宋体" w:cs="宋体"/>
          <w:color w:val="000000"/>
          <w:kern w:val="0"/>
          <w:sz w:val="21"/>
          <w:szCs w:val="21"/>
          <w:highlight w:val="none"/>
          <w:lang w:val="en-US" w:eastAsia="zh-CN"/>
        </w:rPr>
        <w:t>及时向甲方通告本项目服务范围内有关服务的重大事项，及时配合处理。</w:t>
      </w:r>
    </w:p>
    <w:p w14:paraId="50B6CA2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6.2.4</w:t>
      </w:r>
      <w:r>
        <w:rPr>
          <w:rFonts w:hint="eastAsia" w:ascii="宋体" w:hAnsi="宋体" w:eastAsia="宋体" w:cs="宋体"/>
          <w:color w:val="000000"/>
          <w:kern w:val="0"/>
          <w:sz w:val="21"/>
          <w:szCs w:val="21"/>
          <w:highlight w:val="none"/>
          <w:lang w:val="en-US" w:eastAsia="zh-CN"/>
        </w:rPr>
        <w:t>乙方应保护甲方提供的相关资料。未经甲方同意不得擅自修改、复制或向第三人转让或用于本合同外的项目，如发生以上情况，乙方应负法律责任，甲方有权向乙方提出索赔。</w:t>
      </w:r>
    </w:p>
    <w:p w14:paraId="2578F01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6.2.5</w:t>
      </w:r>
      <w:r>
        <w:rPr>
          <w:rFonts w:hint="eastAsia" w:ascii="宋体" w:hAnsi="宋体" w:eastAsia="宋体" w:cs="宋体"/>
          <w:color w:val="000000"/>
          <w:kern w:val="0"/>
          <w:sz w:val="21"/>
          <w:szCs w:val="21"/>
          <w:highlight w:val="none"/>
          <w:lang w:val="en-US" w:eastAsia="zh-CN"/>
        </w:rPr>
        <w:t>乙方在中途需更换所指派的项目负责人，应事先征得甲方同意。</w:t>
      </w:r>
    </w:p>
    <w:p w14:paraId="7B19EDB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6.2.6</w:t>
      </w:r>
      <w:r>
        <w:rPr>
          <w:rFonts w:hint="eastAsia" w:ascii="宋体" w:hAnsi="宋体" w:eastAsia="宋体" w:cs="宋体"/>
          <w:color w:val="000000"/>
          <w:kern w:val="0"/>
          <w:sz w:val="21"/>
          <w:szCs w:val="21"/>
          <w:highlight w:val="none"/>
          <w:lang w:val="en-US" w:eastAsia="zh-CN"/>
        </w:rPr>
        <w:t>接受项目行业管理部门及政府有关部门的指导，接受甲方的监督。</w:t>
      </w:r>
    </w:p>
    <w:p w14:paraId="0ED4CF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6.2.7</w:t>
      </w:r>
      <w:r>
        <w:rPr>
          <w:rFonts w:hint="eastAsia" w:ascii="宋体" w:hAnsi="宋体" w:eastAsia="宋体" w:cs="宋体"/>
          <w:color w:val="000000"/>
          <w:kern w:val="0"/>
          <w:sz w:val="21"/>
          <w:szCs w:val="21"/>
          <w:highlight w:val="none"/>
          <w:lang w:val="en-US" w:eastAsia="zh-CN"/>
        </w:rPr>
        <w:t>国家法律、法规所规定由乙方承担的其它责任。</w:t>
      </w:r>
    </w:p>
    <w:p w14:paraId="23E48087">
      <w:pPr>
        <w:keepNext w:val="0"/>
        <w:keepLines w:val="0"/>
        <w:pageBreakBefore w:val="0"/>
        <w:widowControl w:val="0"/>
        <w:numPr>
          <w:ilvl w:val="0"/>
          <w:numId w:val="0"/>
        </w:numPr>
        <w:kinsoku/>
        <w:wordWrap/>
        <w:overflowPunct/>
        <w:topLinePunct w:val="0"/>
        <w:bidi w:val="0"/>
        <w:snapToGrid w:val="0"/>
        <w:spacing w:line="360" w:lineRule="auto"/>
        <w:ind w:firstLine="422" w:firstLineChars="200"/>
        <w:textAlignment w:val="auto"/>
        <w:rPr>
          <w:rFonts w:hint="eastAsia" w:ascii="宋体" w:hAnsi="宋体" w:cs="宋体"/>
          <w:b/>
          <w:bCs/>
          <w:color w:val="000000"/>
          <w:kern w:val="0"/>
          <w:sz w:val="21"/>
          <w:szCs w:val="21"/>
          <w:highlight w:val="none"/>
          <w:lang w:val="en-US" w:eastAsia="zh-CN"/>
        </w:rPr>
      </w:pPr>
      <w:bookmarkStart w:id="21" w:name="_Toc4212"/>
      <w:bookmarkStart w:id="22" w:name="_Toc23438"/>
      <w:r>
        <w:rPr>
          <w:rFonts w:hint="eastAsia" w:ascii="宋体" w:hAnsi="宋体" w:cs="宋体"/>
          <w:b/>
          <w:bCs/>
          <w:color w:val="000000"/>
          <w:kern w:val="0"/>
          <w:sz w:val="21"/>
          <w:szCs w:val="21"/>
          <w:highlight w:val="none"/>
          <w:lang w:val="en-US" w:eastAsia="zh-CN"/>
        </w:rPr>
        <w:t>7.验收</w:t>
      </w:r>
    </w:p>
    <w:p w14:paraId="11DB0CD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7.1</w:t>
      </w:r>
      <w:r>
        <w:rPr>
          <w:rFonts w:hint="default" w:ascii="宋体" w:hAnsi="宋体" w:eastAsia="宋体" w:cs="宋体"/>
          <w:color w:val="000000"/>
          <w:kern w:val="0"/>
          <w:sz w:val="21"/>
          <w:szCs w:val="21"/>
          <w:highlight w:val="none"/>
          <w:lang w:val="en-US" w:eastAsia="zh-CN"/>
        </w:rPr>
        <w:t>按国家现行项目实施规范和合同规定的验收评定标准等要求进行验收。</w:t>
      </w:r>
    </w:p>
    <w:p w14:paraId="2D46A43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验收依据</w:t>
      </w:r>
    </w:p>
    <w:p w14:paraId="18D6756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1本项目竞争性磋商文件、响应文件:</w:t>
      </w:r>
    </w:p>
    <w:p w14:paraId="5FA2D05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2本合同及附件文本:</w:t>
      </w:r>
    </w:p>
    <w:p w14:paraId="7B2498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default"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7.2.</w:t>
      </w:r>
      <w:r>
        <w:rPr>
          <w:rFonts w:hint="default" w:ascii="宋体" w:hAnsi="宋体" w:eastAsia="宋体" w:cs="宋体"/>
          <w:color w:val="000000"/>
          <w:kern w:val="0"/>
          <w:sz w:val="21"/>
          <w:szCs w:val="21"/>
          <w:highlight w:val="none"/>
          <w:lang w:val="en-US" w:eastAsia="zh-CN"/>
        </w:rPr>
        <w:t>3合同签订时国家及行业现行的标准和技术规范。</w:t>
      </w:r>
    </w:p>
    <w:p w14:paraId="7C3A2DF6">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r>
        <w:rPr>
          <w:rFonts w:hint="eastAsia" w:ascii="宋体" w:hAnsi="宋体" w:cs="宋体"/>
          <w:b/>
          <w:bCs/>
          <w:color w:val="000000"/>
          <w:kern w:val="0"/>
          <w:sz w:val="21"/>
          <w:szCs w:val="21"/>
          <w:highlight w:val="none"/>
          <w:lang w:val="en-US" w:eastAsia="zh-CN"/>
        </w:rPr>
        <w:t>8</w:t>
      </w:r>
      <w:r>
        <w:rPr>
          <w:rFonts w:hint="eastAsia" w:ascii="宋体" w:hAnsi="宋体" w:eastAsia="宋体" w:cs="宋体"/>
          <w:b/>
          <w:bCs/>
          <w:color w:val="000000"/>
          <w:kern w:val="0"/>
          <w:sz w:val="21"/>
          <w:szCs w:val="21"/>
          <w:highlight w:val="none"/>
        </w:rPr>
        <w:t>.合同终止和违约责任</w:t>
      </w:r>
      <w:bookmarkEnd w:id="21"/>
      <w:bookmarkEnd w:id="22"/>
    </w:p>
    <w:p w14:paraId="66FE44CF">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在下述条件下，本合同书可提前终止：</w:t>
      </w:r>
    </w:p>
    <w:p w14:paraId="340ABAC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.1 如果一方破产，或正在进行清算程序，或其财产的实质性部分被没收或扣押，则另一方可经书面通知该方而立即终止本合同，并有权要求其赔偿由此造成的损失；</w:t>
      </w:r>
    </w:p>
    <w:p w14:paraId="17F503C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.2 如果一方的所有权、组织结构、控制与管理发生重大变化，而导致其不能履行本合同的，则另一方可经书面通知该方而立即终止本合同，并有权要求其赔偿由此造成的损失；</w:t>
      </w:r>
    </w:p>
    <w:p w14:paraId="2EB2726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.3 除本合同另有约定外，如果一方违反本合同书任何约定并在收到另一方向其发出的书面通知后十五天内仍不纠正违约行为，则另一方可经书面通知该方而立即终止本合同，并有权按照</w:t>
      </w: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.4条的约定要求其承担违约责任，违约金不足以弥补损失的还应继续赔偿由此造成的损失。</w:t>
      </w:r>
    </w:p>
    <w:p w14:paraId="7DCA2CD7">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 如果本合同一方不按照合同约定履行义务，则应按照下述规定承担违约责任：</w:t>
      </w:r>
    </w:p>
    <w:p w14:paraId="5F5FFA9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.4.1 如果乙方未能履行合同或履行合同不符合约定，甲方应就此向乙方发出书面通知，指出乙方没有适当履行的合同条款，并要求纠正。如果乙方确属违约，并且乙方在收到甲方书面通知之日起十五日内仍不纠正违约行为或已无法纠正，甲方有权要求乙方承担金额最高不超过服务费总额30％的违约金。</w:t>
      </w:r>
    </w:p>
    <w:p w14:paraId="000549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8</w:t>
      </w:r>
      <w:r>
        <w:rPr>
          <w:rFonts w:hint="eastAsia" w:ascii="宋体" w:hAnsi="宋体" w:eastAsia="宋体" w:cs="宋体"/>
          <w:color w:val="000000"/>
          <w:kern w:val="0"/>
          <w:sz w:val="21"/>
          <w:szCs w:val="21"/>
          <w:highlight w:val="none"/>
          <w:lang w:val="en-US" w:eastAsia="zh-CN"/>
        </w:rPr>
        <w:t>.4.2 甲方应当根据本合同约定按时向乙方付款，无正当理由迟延付款的，每迟延支付一日，应支付迟延付款金额0.1‰的违约金。</w:t>
      </w:r>
    </w:p>
    <w:p w14:paraId="70EC63D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3" w:name="_Toc29778"/>
      <w:bookmarkStart w:id="24" w:name="_Toc27960"/>
      <w:r>
        <w:rPr>
          <w:rFonts w:hint="eastAsia" w:ascii="宋体" w:hAnsi="宋体" w:cs="宋体"/>
          <w:b/>
          <w:bCs/>
          <w:color w:val="000000"/>
          <w:kern w:val="0"/>
          <w:sz w:val="21"/>
          <w:szCs w:val="21"/>
          <w:highlight w:val="none"/>
          <w:lang w:val="en-US" w:eastAsia="zh-CN"/>
        </w:rPr>
        <w:t>9</w:t>
      </w:r>
      <w:r>
        <w:rPr>
          <w:rFonts w:hint="eastAsia" w:ascii="宋体" w:hAnsi="宋体" w:eastAsia="宋体" w:cs="宋体"/>
          <w:b/>
          <w:bCs/>
          <w:color w:val="000000"/>
          <w:kern w:val="0"/>
          <w:sz w:val="21"/>
          <w:szCs w:val="21"/>
          <w:highlight w:val="none"/>
        </w:rPr>
        <w:t>.不可抗力</w:t>
      </w:r>
      <w:bookmarkEnd w:id="23"/>
      <w:bookmarkEnd w:id="24"/>
    </w:p>
    <w:p w14:paraId="1E1518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.1 “不可抗力”是指本合同签订后不可预见并且其发生和后果是双方无法避免和克服的事件，该等事件在合同签署后发生，并造成一方不能履行其在合同书项下的全部或部分义务。该等事件包括地震、台风、洪水、火灾、战争、瘟疫、流行病、动乱、罢工以及法律规定为“不可抗力”的其他事件。</w:t>
      </w:r>
    </w:p>
    <w:p w14:paraId="773FAEE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.2 如一项不可抗力事件发生并因此影响任何一方履行其在本合同项下的义务，则该项义务的履行在不可抗力事件导致的延迟期内可暂时中止，且该等不履行不视为对合同的违反。受到不可抗力事件影响的一方应当立即以书面形式将该不可抗力事件的发生通知另一方，并在此后十五日内提供该不可抗力事件发生和持续时间的充分证据。</w:t>
      </w:r>
    </w:p>
    <w:p w14:paraId="10586DA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rPr>
      </w:pPr>
      <w:r>
        <w:rPr>
          <w:rFonts w:hint="eastAsia" w:ascii="宋体" w:hAnsi="宋体" w:cs="宋体"/>
          <w:color w:val="000000"/>
          <w:kern w:val="0"/>
          <w:sz w:val="21"/>
          <w:szCs w:val="21"/>
          <w:highlight w:val="none"/>
          <w:lang w:val="en-US" w:eastAsia="zh-CN"/>
        </w:rPr>
        <w:t>9</w:t>
      </w:r>
      <w:r>
        <w:rPr>
          <w:rFonts w:hint="eastAsia" w:ascii="宋体" w:hAnsi="宋体" w:eastAsia="宋体" w:cs="宋体"/>
          <w:color w:val="000000"/>
          <w:kern w:val="0"/>
          <w:sz w:val="21"/>
          <w:szCs w:val="21"/>
          <w:highlight w:val="none"/>
        </w:rPr>
        <w:t>.3 发生不可抗力事件后，双方应相互协商以寻求公平的解决方法并应尽力将不可抗力所造成的影响减至最低。如果不可抗力的发生严重阻碍了合同的履行，且自不可抗力发生之日起三十日内双方仍无法找到公平的解决方法，则任何一方可提前终止本合同书。在此情况下，乙方应当退还甲方已经支付的款项（扣除乙方为本项目所已经实际支付的必要成本）。</w:t>
      </w:r>
    </w:p>
    <w:p w14:paraId="684A9AEF">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bCs/>
          <w:color w:val="000000"/>
          <w:kern w:val="0"/>
          <w:sz w:val="21"/>
          <w:szCs w:val="21"/>
          <w:highlight w:val="none"/>
        </w:rPr>
      </w:pPr>
      <w:bookmarkStart w:id="25" w:name="_Toc12058"/>
      <w:bookmarkStart w:id="26" w:name="_Toc7221"/>
      <w:r>
        <w:rPr>
          <w:rFonts w:hint="eastAsia" w:ascii="宋体" w:hAnsi="宋体" w:cs="宋体"/>
          <w:b/>
          <w:bCs/>
          <w:color w:val="000000"/>
          <w:kern w:val="0"/>
          <w:sz w:val="21"/>
          <w:szCs w:val="21"/>
          <w:highlight w:val="none"/>
          <w:lang w:val="en-US" w:eastAsia="zh-CN"/>
        </w:rPr>
        <w:t>10</w:t>
      </w:r>
      <w:r>
        <w:rPr>
          <w:rFonts w:hint="eastAsia" w:ascii="宋体" w:hAnsi="宋体" w:eastAsia="宋体" w:cs="宋体"/>
          <w:b/>
          <w:bCs/>
          <w:color w:val="000000"/>
          <w:kern w:val="0"/>
          <w:sz w:val="21"/>
          <w:szCs w:val="21"/>
          <w:highlight w:val="none"/>
          <w:lang w:val="zh-CN"/>
        </w:rPr>
        <w:t>.知识产权、保密</w:t>
      </w:r>
      <w:bookmarkEnd w:id="25"/>
      <w:bookmarkEnd w:id="26"/>
    </w:p>
    <w:p w14:paraId="5A1C6AE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.1合同双方保证，一方向另一方提供的文件、资料不会侵犯任何第三方的知识产权或其他合法权益，若因此给另一方造成损失的，由提供方依法承担相应法律责任。</w:t>
      </w:r>
    </w:p>
    <w:p w14:paraId="37EA763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zh-CN"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.2 甲方享有本合同项下全部事项内容完整的知识产权，未经甲方书面确认，乙方不得转让、许可或以其他方式提供给任何第三方使用；否则，甲方有权解除合同并依法追究乙方违约责任。</w:t>
      </w:r>
    </w:p>
    <w:p w14:paraId="337A6CD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.3本合同涉及的文件、资料内容属于甲方商业秘密，除为履行本合同所必须外，未经甲方授权乙方无权向第三方公开。</w:t>
      </w:r>
    </w:p>
    <w:p w14:paraId="46A0461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合同双方对因签署和履行本合同而获得的本合同各项条款、有关本合同的谈判、合同一方提供给对方的涉及提供方专属的或保密的信息和数据等属于商业秘密，仅在下列情况下，合同双方才可披露商业秘密条款信息：</w:t>
      </w:r>
    </w:p>
    <w:p w14:paraId="0A71C155">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.4.1依法律法规的规定；</w:t>
      </w:r>
    </w:p>
    <w:p w14:paraId="049E1EE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.4.2 依任何有管辖权的政府机关、</w:t>
      </w:r>
      <w:r>
        <w:rPr>
          <w:rFonts w:hint="eastAsia" w:ascii="宋体" w:hAnsi="宋体" w:eastAsia="宋体" w:cs="宋体"/>
          <w:color w:val="000000"/>
          <w:kern w:val="0"/>
          <w:sz w:val="21"/>
          <w:szCs w:val="21"/>
          <w:highlight w:val="none"/>
          <w:lang w:val="en-US" w:eastAsia="zh-CN"/>
        </w:rPr>
        <w:t>司法机关、</w:t>
      </w:r>
      <w:r>
        <w:rPr>
          <w:rFonts w:hint="eastAsia" w:ascii="宋体" w:hAnsi="宋体" w:eastAsia="宋体" w:cs="宋体"/>
          <w:color w:val="000000"/>
          <w:kern w:val="0"/>
          <w:sz w:val="21"/>
          <w:szCs w:val="21"/>
          <w:highlight w:val="none"/>
          <w:lang w:val="zh-CN" w:eastAsia="zh-CN"/>
        </w:rPr>
        <w:t>监管机构或自律组织的要求；</w:t>
      </w:r>
    </w:p>
    <w:p w14:paraId="06C28F86">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.4.3在收到对方披露的保密信息之时或之前已从对该保密信息无保密义务的第三方合法知悉该信息；</w:t>
      </w:r>
    </w:p>
    <w:p w14:paraId="39CDF7CE">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.4.4 非因乙方过错，而使信息已经公开；</w:t>
      </w:r>
    </w:p>
    <w:p w14:paraId="59EA0D6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.4.5合同双方事先达成书面认可；</w:t>
      </w:r>
    </w:p>
    <w:p w14:paraId="1A097010">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val="zh-CN" w:eastAsia="zh-CN"/>
        </w:rPr>
        <w:t>.5本条款的使用不因本合同的终止而失效；自其中某项秘密信息依法被公开披露、丧失保密性之日起，本合同约定的保密义务对该信息不再适用。</w:t>
      </w:r>
    </w:p>
    <w:p w14:paraId="0FC3DC00">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7" w:name="_Toc20922"/>
      <w:bookmarkStart w:id="28" w:name="_Toc26449"/>
      <w:r>
        <w:rPr>
          <w:rFonts w:hint="eastAsia" w:ascii="宋体" w:hAnsi="宋体" w:cs="宋体"/>
          <w:b/>
          <w:bCs/>
          <w:color w:val="000000"/>
          <w:kern w:val="0"/>
          <w:sz w:val="21"/>
          <w:szCs w:val="21"/>
          <w:highlight w:val="none"/>
          <w:lang w:val="en-US" w:eastAsia="zh-CN"/>
        </w:rPr>
        <w:t>11</w:t>
      </w:r>
      <w:r>
        <w:rPr>
          <w:rFonts w:hint="eastAsia" w:ascii="宋体" w:hAnsi="宋体" w:eastAsia="宋体" w:cs="宋体"/>
          <w:b/>
          <w:bCs/>
          <w:color w:val="000000"/>
          <w:kern w:val="0"/>
          <w:sz w:val="21"/>
          <w:szCs w:val="21"/>
          <w:highlight w:val="none"/>
        </w:rPr>
        <w:t>.争议解决</w:t>
      </w:r>
      <w:bookmarkEnd w:id="27"/>
      <w:bookmarkEnd w:id="28"/>
    </w:p>
    <w:p w14:paraId="3F58E28A">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11</w:t>
      </w:r>
      <w:r>
        <w:rPr>
          <w:rFonts w:hint="eastAsia" w:ascii="宋体" w:hAnsi="宋体" w:eastAsia="宋体" w:cs="宋体"/>
          <w:color w:val="000000"/>
          <w:kern w:val="0"/>
          <w:sz w:val="21"/>
          <w:szCs w:val="21"/>
          <w:highlight w:val="none"/>
          <w:lang w:val="en-US" w:eastAsia="zh-CN"/>
        </w:rPr>
        <w:t>.1 如果甲乙双方就本合同的履行发生任何争议，双方应首先通过友好协商解决该等争议。如果在协商开始的30日内双方无法解决争议，则提交给甲方所在地有管辖权的人民法院提起诉讼方式解决争议</w:t>
      </w:r>
      <w:r>
        <w:rPr>
          <w:rFonts w:hint="eastAsia" w:ascii="宋体" w:hAnsi="宋体" w:cs="宋体"/>
          <w:color w:val="000000"/>
          <w:kern w:val="0"/>
          <w:sz w:val="21"/>
          <w:szCs w:val="21"/>
          <w:highlight w:val="none"/>
          <w:lang w:val="en-US" w:eastAsia="zh-CN"/>
        </w:rPr>
        <w:t>。</w:t>
      </w:r>
      <w:r>
        <w:rPr>
          <w:rFonts w:hint="eastAsia" w:ascii="宋体" w:hAnsi="宋体" w:eastAsia="宋体" w:cs="宋体"/>
          <w:color w:val="000000"/>
          <w:kern w:val="0"/>
          <w:sz w:val="21"/>
          <w:szCs w:val="21"/>
          <w:highlight w:val="none"/>
          <w:lang w:val="en-US" w:eastAsia="zh-CN"/>
        </w:rPr>
        <w:t>违约方承担守约方的全部维权费用，包括但不限于保全担保费、公证费、公告费、审计费、鉴定费、律师费等。</w:t>
      </w:r>
    </w:p>
    <w:p w14:paraId="0BCF6FB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29" w:name="_Toc2658"/>
      <w:bookmarkStart w:id="30" w:name="_Toc17905"/>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2</w:t>
      </w:r>
      <w:r>
        <w:rPr>
          <w:rFonts w:hint="eastAsia" w:ascii="宋体" w:hAnsi="宋体" w:eastAsia="宋体" w:cs="宋体"/>
          <w:b/>
          <w:color w:val="000000"/>
          <w:kern w:val="0"/>
          <w:sz w:val="21"/>
          <w:szCs w:val="21"/>
          <w:highlight w:val="none"/>
        </w:rPr>
        <w:t>.通知</w:t>
      </w:r>
      <w:bookmarkEnd w:id="29"/>
      <w:bookmarkEnd w:id="30"/>
    </w:p>
    <w:p w14:paraId="031A0F4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lang w:val="en-US" w:eastAsia="zh-CN"/>
        </w:rPr>
        <w:t>.1本合同任何一方给另一方的通知都应以书面或电传、电报、传真的形式发送，而另一方应以书面形式确认并发送到对方明确的地址。</w:t>
      </w:r>
    </w:p>
    <w:p w14:paraId="4D74F182">
      <w:pPr>
        <w:keepNext w:val="0"/>
        <w:keepLines w:val="0"/>
        <w:pageBreakBefore w:val="0"/>
        <w:widowControl w:val="0"/>
        <w:kinsoku/>
        <w:wordWrap/>
        <w:overflowPunct/>
        <w:topLinePunct w:val="0"/>
        <w:bidi w:val="0"/>
        <w:snapToGrid w:val="0"/>
        <w:spacing w:line="360" w:lineRule="auto"/>
        <w:ind w:firstLine="422" w:firstLineChars="200"/>
        <w:textAlignment w:val="auto"/>
        <w:rPr>
          <w:rFonts w:hint="eastAsia" w:ascii="宋体" w:hAnsi="宋体" w:eastAsia="宋体" w:cs="宋体"/>
          <w:color w:val="000000"/>
          <w:kern w:val="0"/>
          <w:sz w:val="21"/>
          <w:szCs w:val="21"/>
          <w:highlight w:val="none"/>
        </w:rPr>
      </w:pPr>
      <w:bookmarkStart w:id="31" w:name="_Toc20904"/>
      <w:bookmarkStart w:id="32" w:name="_Toc29310"/>
      <w:r>
        <w:rPr>
          <w:rFonts w:hint="eastAsia" w:ascii="宋体" w:hAnsi="宋体" w:eastAsia="宋体" w:cs="宋体"/>
          <w:b/>
          <w:color w:val="000000"/>
          <w:kern w:val="0"/>
          <w:sz w:val="21"/>
          <w:szCs w:val="21"/>
          <w:highlight w:val="none"/>
          <w:lang w:val="en-US" w:eastAsia="zh-CN"/>
        </w:rPr>
        <w:t>1</w:t>
      </w:r>
      <w:r>
        <w:rPr>
          <w:rFonts w:hint="eastAsia" w:ascii="宋体" w:hAnsi="宋体" w:cs="宋体"/>
          <w:b/>
          <w:color w:val="000000"/>
          <w:kern w:val="0"/>
          <w:sz w:val="21"/>
          <w:szCs w:val="21"/>
          <w:highlight w:val="none"/>
          <w:lang w:val="en-US" w:eastAsia="zh-CN"/>
        </w:rPr>
        <w:t>3</w:t>
      </w:r>
      <w:r>
        <w:rPr>
          <w:rFonts w:hint="eastAsia" w:ascii="宋体" w:hAnsi="宋体" w:eastAsia="宋体" w:cs="宋体"/>
          <w:b/>
          <w:color w:val="000000"/>
          <w:kern w:val="0"/>
          <w:sz w:val="21"/>
          <w:szCs w:val="21"/>
          <w:highlight w:val="none"/>
        </w:rPr>
        <w:t>.合同生效及其它</w:t>
      </w:r>
      <w:bookmarkEnd w:id="31"/>
      <w:bookmarkEnd w:id="32"/>
    </w:p>
    <w:p w14:paraId="12AF94B9">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.1 双方本着善意和合作的目的，同意就本项目组织中发生的不可预见的变化进行友好协商，并签署书面确认，以修正并取代本合同的约定。如没有签署书面确认，双方以本合同为准。</w:t>
      </w:r>
    </w:p>
    <w:p w14:paraId="6D6B2BED">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.2本合同一式</w:t>
      </w:r>
      <w:r>
        <w:rPr>
          <w:rFonts w:hint="eastAsia" w:ascii="宋体" w:hAnsi="宋体" w:eastAsia="宋体" w:cs="宋体"/>
          <w:color w:val="000000"/>
          <w:kern w:val="0"/>
          <w:sz w:val="21"/>
          <w:szCs w:val="21"/>
          <w:highlight w:val="none"/>
          <w:u w:val="single"/>
          <w:lang w:val="en-US" w:eastAsia="zh-CN"/>
        </w:rPr>
        <w:t xml:space="preserve"> 肆 </w:t>
      </w:r>
      <w:r>
        <w:rPr>
          <w:rFonts w:hint="eastAsia" w:ascii="宋体" w:hAnsi="宋体" w:eastAsia="宋体" w:cs="宋体"/>
          <w:color w:val="000000"/>
          <w:kern w:val="0"/>
          <w:sz w:val="21"/>
          <w:szCs w:val="21"/>
          <w:highlight w:val="none"/>
          <w:lang w:val="en-US" w:eastAsia="zh-CN"/>
        </w:rPr>
        <w:t>份，甲乙双方各执</w:t>
      </w:r>
      <w:r>
        <w:rPr>
          <w:rFonts w:hint="eastAsia" w:ascii="宋体" w:hAnsi="宋体" w:eastAsia="宋体" w:cs="宋体"/>
          <w:color w:val="000000"/>
          <w:kern w:val="0"/>
          <w:sz w:val="21"/>
          <w:szCs w:val="21"/>
          <w:highlight w:val="none"/>
          <w:u w:val="single"/>
          <w:lang w:val="en-US" w:eastAsia="zh-CN"/>
        </w:rPr>
        <w:t xml:space="preserve"> 贰 </w:t>
      </w:r>
      <w:r>
        <w:rPr>
          <w:rFonts w:hint="eastAsia" w:ascii="宋体" w:hAnsi="宋体" w:eastAsia="宋体" w:cs="宋体"/>
          <w:color w:val="000000"/>
          <w:kern w:val="0"/>
          <w:sz w:val="21"/>
          <w:szCs w:val="21"/>
          <w:highlight w:val="none"/>
          <w:u w:val="none"/>
          <w:lang w:val="en-US" w:eastAsia="zh-CN"/>
        </w:rPr>
        <w:t>份，</w:t>
      </w:r>
      <w:r>
        <w:rPr>
          <w:rFonts w:hint="eastAsia" w:ascii="宋体" w:hAnsi="宋体" w:eastAsia="宋体" w:cs="宋体"/>
          <w:color w:val="000000"/>
          <w:kern w:val="0"/>
          <w:sz w:val="21"/>
          <w:szCs w:val="21"/>
          <w:highlight w:val="none"/>
          <w:lang w:val="en-US" w:eastAsia="zh-CN"/>
        </w:rPr>
        <w:t>经双方签字盖章后即发生法律效力，且均具有同等法律效力。</w:t>
      </w:r>
    </w:p>
    <w:p w14:paraId="3C8605E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w:t>
      </w:r>
      <w:r>
        <w:rPr>
          <w:rFonts w:hint="eastAsia" w:ascii="宋体" w:hAnsi="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lang w:val="en-US" w:eastAsia="zh-CN"/>
        </w:rPr>
        <w:t>.3签订时间</w:t>
      </w:r>
      <w:r>
        <w:rPr>
          <w:rFonts w:hint="eastAsia" w:ascii="宋体" w:hAnsi="宋体" w:eastAsia="宋体" w:cs="宋体"/>
          <w:color w:val="000000"/>
          <w:kern w:val="0"/>
          <w:sz w:val="21"/>
          <w:szCs w:val="21"/>
          <w:highlight w:val="none"/>
          <w:u w:val="none"/>
          <w:lang w:val="en-US" w:eastAsia="zh-CN"/>
        </w:rPr>
        <w:t>：</w:t>
      </w:r>
      <w:r>
        <w:rPr>
          <w:rFonts w:hint="eastAsia" w:ascii="宋体" w:hAnsi="宋体" w:eastAsia="宋体" w:cs="宋体"/>
          <w:color w:val="000000"/>
          <w:kern w:val="0"/>
          <w:sz w:val="21"/>
          <w:szCs w:val="21"/>
          <w:highlight w:val="none"/>
          <w:u w:val="single"/>
          <w:lang w:val="en-US" w:eastAsia="zh-CN"/>
        </w:rPr>
        <w:t xml:space="preserve">                    </w:t>
      </w:r>
      <w:r>
        <w:rPr>
          <w:rFonts w:hint="eastAsia" w:ascii="宋体" w:hAnsi="宋体" w:eastAsia="宋体" w:cs="宋体"/>
          <w:color w:val="000000"/>
          <w:kern w:val="0"/>
          <w:sz w:val="21"/>
          <w:szCs w:val="21"/>
          <w:highlight w:val="none"/>
          <w:u w:val="none"/>
          <w:lang w:val="en-US" w:eastAsia="zh-CN"/>
        </w:rPr>
        <w:t>。</w:t>
      </w:r>
    </w:p>
    <w:tbl>
      <w:tblPr>
        <w:tblStyle w:val="6"/>
        <w:tblpPr w:leftFromText="180" w:rightFromText="180" w:vertAnchor="text" w:horzAnchor="page" w:tblpX="1607" w:tblpY="584"/>
        <w:tblOverlap w:val="never"/>
        <w:tblW w:w="9347" w:type="dxa"/>
        <w:tblInd w:w="0" w:type="dxa"/>
        <w:tblLayout w:type="fixed"/>
        <w:tblCellMar>
          <w:top w:w="0" w:type="dxa"/>
          <w:left w:w="108" w:type="dxa"/>
          <w:bottom w:w="0" w:type="dxa"/>
          <w:right w:w="108" w:type="dxa"/>
        </w:tblCellMar>
      </w:tblPr>
      <w:tblGrid>
        <w:gridCol w:w="4812"/>
        <w:gridCol w:w="4535"/>
      </w:tblGrid>
      <w:tr w14:paraId="3471A26F">
        <w:tblPrEx>
          <w:tblCellMar>
            <w:top w:w="0" w:type="dxa"/>
            <w:left w:w="108" w:type="dxa"/>
            <w:bottom w:w="0" w:type="dxa"/>
            <w:right w:w="108" w:type="dxa"/>
          </w:tblCellMar>
        </w:tblPrEx>
        <w:trPr>
          <w:trHeight w:val="968" w:hRule="atLeast"/>
        </w:trPr>
        <w:tc>
          <w:tcPr>
            <w:tcW w:w="4812" w:type="dxa"/>
            <w:noWrap w:val="0"/>
            <w:vAlign w:val="top"/>
          </w:tcPr>
          <w:p w14:paraId="0B8406A2">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甲方</w:t>
            </w:r>
            <w:r>
              <w:rPr>
                <w:rFonts w:hint="eastAsia" w:ascii="宋体" w:hAnsi="宋体" w:eastAsia="宋体" w:cs="宋体"/>
                <w:color w:val="000000"/>
                <w:kern w:val="0"/>
                <w:sz w:val="21"/>
                <w:szCs w:val="21"/>
                <w:highlight w:val="none"/>
              </w:rPr>
              <w:t>：</w:t>
            </w:r>
          </w:p>
          <w:p w14:paraId="07AF3C6E">
            <w:pPr>
              <w:bidi w:val="0"/>
              <w:spacing w:line="360" w:lineRule="auto"/>
              <w:rPr>
                <w:rFonts w:hint="eastAsia" w:ascii="宋体" w:hAnsi="宋体" w:eastAsia="宋体" w:cs="宋体"/>
                <w:color w:val="000000"/>
                <w:kern w:val="0"/>
                <w:sz w:val="21"/>
                <w:szCs w:val="21"/>
                <w:highlight w:val="none"/>
              </w:rPr>
            </w:pPr>
          </w:p>
        </w:tc>
        <w:tc>
          <w:tcPr>
            <w:tcW w:w="4535" w:type="dxa"/>
            <w:noWrap w:val="0"/>
            <w:vAlign w:val="top"/>
          </w:tcPr>
          <w:p w14:paraId="3251BF97">
            <w:pPr>
              <w:bidi w:val="0"/>
              <w:spacing w:line="360" w:lineRule="auto"/>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乙方</w:t>
            </w:r>
            <w:r>
              <w:rPr>
                <w:rFonts w:hint="eastAsia" w:ascii="宋体" w:hAnsi="宋体" w:eastAsia="宋体" w:cs="宋体"/>
                <w:color w:val="000000"/>
                <w:kern w:val="0"/>
                <w:sz w:val="21"/>
                <w:szCs w:val="21"/>
                <w:highlight w:val="none"/>
              </w:rPr>
              <w:t>：</w:t>
            </w:r>
          </w:p>
        </w:tc>
      </w:tr>
      <w:tr w14:paraId="5B4B4A7C">
        <w:tblPrEx>
          <w:tblCellMar>
            <w:top w:w="0" w:type="dxa"/>
            <w:left w:w="108" w:type="dxa"/>
            <w:bottom w:w="0" w:type="dxa"/>
            <w:right w:w="108" w:type="dxa"/>
          </w:tblCellMar>
        </w:tblPrEx>
        <w:trPr>
          <w:trHeight w:val="729" w:hRule="atLeast"/>
        </w:trPr>
        <w:tc>
          <w:tcPr>
            <w:tcW w:w="4812" w:type="dxa"/>
            <w:noWrap w:val="0"/>
            <w:vAlign w:val="top"/>
          </w:tcPr>
          <w:p w14:paraId="7D72D7A9">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c>
          <w:tcPr>
            <w:tcW w:w="4535" w:type="dxa"/>
            <w:noWrap w:val="0"/>
            <w:vAlign w:val="top"/>
          </w:tcPr>
          <w:p w14:paraId="1681AD68">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eastAsia="zh-CN"/>
              </w:rPr>
              <w:t>地址</w:t>
            </w:r>
            <w:r>
              <w:rPr>
                <w:rFonts w:hint="eastAsia" w:ascii="宋体" w:hAnsi="宋体" w:eastAsia="宋体" w:cs="宋体"/>
                <w:color w:val="000000"/>
                <w:kern w:val="0"/>
                <w:sz w:val="21"/>
                <w:szCs w:val="21"/>
                <w:highlight w:val="none"/>
              </w:rPr>
              <w:t>：</w:t>
            </w:r>
          </w:p>
        </w:tc>
      </w:tr>
      <w:tr w14:paraId="653002B7">
        <w:tblPrEx>
          <w:tblCellMar>
            <w:top w:w="0" w:type="dxa"/>
            <w:left w:w="108" w:type="dxa"/>
            <w:bottom w:w="0" w:type="dxa"/>
            <w:right w:w="108" w:type="dxa"/>
          </w:tblCellMar>
        </w:tblPrEx>
        <w:trPr>
          <w:trHeight w:val="729" w:hRule="atLeast"/>
        </w:trPr>
        <w:tc>
          <w:tcPr>
            <w:tcW w:w="4812" w:type="dxa"/>
            <w:noWrap w:val="0"/>
            <w:vAlign w:val="top"/>
          </w:tcPr>
          <w:p w14:paraId="38CF11A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c>
          <w:tcPr>
            <w:tcW w:w="4535" w:type="dxa"/>
            <w:noWrap w:val="0"/>
            <w:vAlign w:val="top"/>
          </w:tcPr>
          <w:p w14:paraId="4F882606">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法定代表人或其委托代理人（签字）：</w:t>
            </w:r>
          </w:p>
        </w:tc>
      </w:tr>
      <w:tr w14:paraId="5DED6F00">
        <w:tblPrEx>
          <w:tblCellMar>
            <w:top w:w="0" w:type="dxa"/>
            <w:left w:w="108" w:type="dxa"/>
            <w:bottom w:w="0" w:type="dxa"/>
            <w:right w:w="108" w:type="dxa"/>
          </w:tblCellMar>
        </w:tblPrEx>
        <w:trPr>
          <w:trHeight w:val="836" w:hRule="atLeast"/>
        </w:trPr>
        <w:tc>
          <w:tcPr>
            <w:tcW w:w="4812" w:type="dxa"/>
            <w:noWrap w:val="0"/>
            <w:vAlign w:val="top"/>
          </w:tcPr>
          <w:p w14:paraId="079FD02A">
            <w:pPr>
              <w:bidi w:val="0"/>
              <w:spacing w:line="360" w:lineRule="auto"/>
              <w:rPr>
                <w:rFonts w:hint="eastAsia" w:ascii="宋体" w:hAnsi="宋体" w:eastAsia="宋体" w:cs="宋体"/>
                <w:color w:val="000000"/>
                <w:kern w:val="0"/>
                <w:sz w:val="21"/>
                <w:szCs w:val="21"/>
                <w:highlight w:val="none"/>
              </w:rPr>
            </w:pPr>
          </w:p>
          <w:p w14:paraId="5B999BCA">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c>
          <w:tcPr>
            <w:tcW w:w="4535" w:type="dxa"/>
            <w:noWrap w:val="0"/>
            <w:vAlign w:val="top"/>
          </w:tcPr>
          <w:p w14:paraId="4FA8C4C6">
            <w:pPr>
              <w:bidi w:val="0"/>
              <w:spacing w:line="360" w:lineRule="auto"/>
              <w:rPr>
                <w:rFonts w:hint="eastAsia" w:ascii="宋体" w:hAnsi="宋体" w:eastAsia="宋体" w:cs="宋体"/>
                <w:color w:val="000000"/>
                <w:kern w:val="0"/>
                <w:sz w:val="21"/>
                <w:szCs w:val="21"/>
                <w:highlight w:val="none"/>
              </w:rPr>
            </w:pPr>
          </w:p>
          <w:p w14:paraId="3E6A89E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开户银行：</w:t>
            </w:r>
          </w:p>
        </w:tc>
      </w:tr>
      <w:tr w14:paraId="18EB24DA">
        <w:tblPrEx>
          <w:tblCellMar>
            <w:top w:w="0" w:type="dxa"/>
            <w:left w:w="108" w:type="dxa"/>
            <w:bottom w:w="0" w:type="dxa"/>
            <w:right w:w="108" w:type="dxa"/>
          </w:tblCellMar>
        </w:tblPrEx>
        <w:trPr>
          <w:trHeight w:val="637" w:hRule="atLeast"/>
        </w:trPr>
        <w:tc>
          <w:tcPr>
            <w:tcW w:w="4812" w:type="dxa"/>
            <w:noWrap w:val="0"/>
            <w:vAlign w:val="top"/>
          </w:tcPr>
          <w:p w14:paraId="18056CA7">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c>
          <w:tcPr>
            <w:tcW w:w="4535" w:type="dxa"/>
            <w:noWrap w:val="0"/>
            <w:vAlign w:val="top"/>
          </w:tcPr>
          <w:p w14:paraId="3833D3EF">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lang w:val="en-US" w:eastAsia="zh-CN"/>
              </w:rPr>
              <w:t>账</w:t>
            </w:r>
            <w:r>
              <w:rPr>
                <w:rFonts w:hint="eastAsia" w:ascii="宋体" w:hAnsi="宋体" w:eastAsia="宋体" w:cs="宋体"/>
                <w:color w:val="000000"/>
                <w:kern w:val="0"/>
                <w:sz w:val="21"/>
                <w:szCs w:val="21"/>
                <w:highlight w:val="none"/>
              </w:rPr>
              <w:t>号：</w:t>
            </w:r>
          </w:p>
        </w:tc>
      </w:tr>
      <w:tr w14:paraId="3DD78072">
        <w:tblPrEx>
          <w:tblCellMar>
            <w:top w:w="0" w:type="dxa"/>
            <w:left w:w="108" w:type="dxa"/>
            <w:bottom w:w="0" w:type="dxa"/>
            <w:right w:w="108" w:type="dxa"/>
          </w:tblCellMar>
        </w:tblPrEx>
        <w:trPr>
          <w:trHeight w:val="614" w:hRule="atLeast"/>
        </w:trPr>
        <w:tc>
          <w:tcPr>
            <w:tcW w:w="4812" w:type="dxa"/>
            <w:noWrap w:val="0"/>
            <w:vAlign w:val="top"/>
          </w:tcPr>
          <w:p w14:paraId="4F5B6D85">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c>
          <w:tcPr>
            <w:tcW w:w="4535" w:type="dxa"/>
            <w:noWrap w:val="0"/>
            <w:vAlign w:val="top"/>
          </w:tcPr>
          <w:p w14:paraId="15D78A2B">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邮编：</w:t>
            </w:r>
          </w:p>
        </w:tc>
      </w:tr>
      <w:tr w14:paraId="41ECC1FB">
        <w:tblPrEx>
          <w:tblCellMar>
            <w:top w:w="0" w:type="dxa"/>
            <w:left w:w="108" w:type="dxa"/>
            <w:bottom w:w="0" w:type="dxa"/>
            <w:right w:w="108" w:type="dxa"/>
          </w:tblCellMar>
        </w:tblPrEx>
        <w:trPr>
          <w:trHeight w:val="694" w:hRule="atLeast"/>
        </w:trPr>
        <w:tc>
          <w:tcPr>
            <w:tcW w:w="4812" w:type="dxa"/>
            <w:noWrap w:val="0"/>
            <w:vAlign w:val="top"/>
          </w:tcPr>
          <w:p w14:paraId="1D53A954">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c>
          <w:tcPr>
            <w:tcW w:w="4535" w:type="dxa"/>
            <w:noWrap w:val="0"/>
            <w:vAlign w:val="top"/>
          </w:tcPr>
          <w:p w14:paraId="6C987F31">
            <w:pPr>
              <w:bidi w:val="0"/>
              <w:spacing w:line="360" w:lineRule="auto"/>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电话：</w:t>
            </w:r>
          </w:p>
        </w:tc>
      </w:tr>
      <w:bookmarkEnd w:id="6"/>
      <w:bookmarkEnd w:id="7"/>
      <w:bookmarkEnd w:id="8"/>
      <w:bookmarkEnd w:id="9"/>
      <w:bookmarkEnd w:id="10"/>
      <w:bookmarkEnd w:id="11"/>
      <w:bookmarkEnd w:id="12"/>
      <w:bookmarkEnd w:id="13"/>
      <w:bookmarkEnd w:id="14"/>
    </w:tbl>
    <w:p w14:paraId="6B66C6C0"/>
    <w:p w14:paraId="569738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ZWU1NTA2MjgxZTc2YWZkOWIyYzc5ZTIyZTNiZDMifQ=="/>
  </w:docVars>
  <w:rsids>
    <w:rsidRoot w:val="00000000"/>
    <w:rsid w:val="0C804B19"/>
    <w:rsid w:val="2A3D421A"/>
    <w:rsid w:val="360A7FBE"/>
    <w:rsid w:val="42E36709"/>
    <w:rsid w:val="5EE373AA"/>
    <w:rsid w:val="734603C0"/>
    <w:rsid w:val="734834A1"/>
    <w:rsid w:val="79C45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9"/>
    <w:qFormat/>
    <w:uiPriority w:val="0"/>
    <w:pPr>
      <w:keepNext/>
      <w:jc w:val="center"/>
      <w:outlineLvl w:val="0"/>
    </w:pPr>
    <w:rPr>
      <w:kern w:val="0"/>
      <w:sz w:val="28"/>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widowControl/>
      <w:ind w:firstLine="420"/>
      <w:jc w:val="left"/>
    </w:pPr>
    <w:rPr>
      <w:kern w:val="0"/>
      <w:sz w:val="20"/>
    </w:rPr>
  </w:style>
  <w:style w:type="paragraph" w:styleId="5">
    <w:name w:val="Body Text"/>
    <w:basedOn w:val="1"/>
    <w:next w:val="1"/>
    <w:qFormat/>
    <w:uiPriority w:val="99"/>
    <w:pPr>
      <w:adjustRightInd w:val="0"/>
      <w:spacing w:after="60" w:afterLines="0" w:line="360" w:lineRule="atLeast"/>
      <w:ind w:left="72" w:leftChars="30" w:right="30" w:rightChars="30"/>
      <w:jc w:val="center"/>
      <w:textAlignment w:val="baseline"/>
    </w:pPr>
    <w:rPr>
      <w:rFonts w:ascii="Times New Roman" w:hAnsi="Times New Roman"/>
    </w:rPr>
  </w:style>
  <w:style w:type="paragraph" w:customStyle="1" w:styleId="8">
    <w:name w:val="正文缩进1"/>
    <w:basedOn w:val="1"/>
    <w:qFormat/>
    <w:uiPriority w:val="0"/>
    <w:pPr>
      <w:ind w:firstLine="420" w:firstLineChars="200"/>
    </w:pPr>
  </w:style>
  <w:style w:type="character" w:customStyle="1" w:styleId="9">
    <w:name w:val="标题 1 Char"/>
    <w:link w:val="2"/>
    <w:qFormat/>
    <w:uiPriority w:val="0"/>
    <w:rPr>
      <w:kern w:val="0"/>
      <w:sz w:val="28"/>
    </w:rPr>
  </w:style>
  <w:style w:type="paragraph" w:customStyle="1" w:styleId="10">
    <w:name w:val="_Style 3"/>
    <w:qFormat/>
    <w:uiPriority w:val="1"/>
    <w:pPr>
      <w:widowControl w:val="0"/>
      <w:jc w:val="both"/>
    </w:pPr>
    <w:rPr>
      <w:rFonts w:ascii="Calibri" w:hAnsi="Calibri" w:eastAsia="宋体" w:cs="Times New Roman"/>
      <w:kern w:val="2"/>
      <w:sz w:val="21"/>
      <w:szCs w:val="22"/>
      <w:lang w:val="en-US" w:eastAsia="zh-CN" w:bidi="ar-SA"/>
    </w:rPr>
  </w:style>
  <w:style w:type="paragraph" w:styleId="11">
    <w:name w:val="List Paragraph"/>
    <w:basedOn w:val="1"/>
    <w:qFormat/>
    <w:uiPriority w:val="34"/>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3426</Words>
  <Characters>3665</Characters>
  <Lines>0</Lines>
  <Paragraphs>0</Paragraphs>
  <TotalTime>0</TotalTime>
  <ScaleCrop>false</ScaleCrop>
  <LinksUpToDate>false</LinksUpToDate>
  <CharactersWithSpaces>3846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2024-09-04T10:32:00Z</dcterms:created>
  <dc:creator>Administrator</dc:creator>
  <cp:lastModifiedBy>向阳</cp:lastModifiedBy>
  <dcterms:modified xsi:type="dcterms:W3CDTF">2025-06-03T01:57:37Z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6EF1FCFEBC8E402DB5E6AFED769F6990_13</vt:lpwstr>
  </property>
  <property fmtid="{D5CDD505-2E9C-101B-9397-08002B2CF9AE}" pid="4" name="KSOTemplateDocerSaveRecord">
    <vt:lpwstr>eyJoZGlkIjoiNzk1ZTU4YjNjOGI3MzhhYTkxZmI3NzRmY2VhYmU5MTIiLCJ1c2VySWQiOiI5MDUwMzI5NTYifQ==</vt:lpwstr>
  </property>
</Properties>
</file>