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版本号：XNW-202502820250625001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2025年度森林生态保护修复补偿项目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XNW-2025028</w:t>
      </w:r>
      <w:r>
        <w:br/>
      </w:r>
      <w:r>
        <w:br/>
      </w:r>
      <w:r>
        <w:br/>
      </w:r>
    </w:p>
    <w:p>
      <w:pPr>
        <w:pStyle w:val="null3"/>
        <w:jc w:val="center"/>
        <w:outlineLvl w:val="2"/>
      </w:pPr>
      <w:r>
        <w:rPr>
          <w:rFonts w:ascii="仿宋_GB2312" w:hAnsi="仿宋_GB2312" w:cs="仿宋_GB2312" w:eastAsia="仿宋_GB2312"/>
          <w:sz w:val="28"/>
          <w:b/>
        </w:rPr>
        <w:t>陕西长青国家级自然保护区管理局</w:t>
      </w:r>
    </w:p>
    <w:p>
      <w:pPr>
        <w:pStyle w:val="null3"/>
        <w:jc w:val="center"/>
        <w:outlineLvl w:val="2"/>
      </w:pPr>
      <w:r>
        <w:rPr>
          <w:rFonts w:ascii="仿宋_GB2312" w:hAnsi="仿宋_GB2312" w:cs="仿宋_GB2312" w:eastAsia="仿宋_GB2312"/>
          <w:sz w:val="28"/>
          <w:b/>
        </w:rPr>
        <w:t>陕西旭诺维项目管理有限公司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陕西旭诺维项目管理有限公司</w:t>
      </w:r>
      <w:r>
        <w:rPr>
          <w:rFonts w:ascii="仿宋_GB2312" w:hAnsi="仿宋_GB2312" w:cs="仿宋_GB2312" w:eastAsia="仿宋_GB2312"/>
        </w:rPr>
        <w:t>（以下简称“代理机构”）受</w:t>
      </w:r>
      <w:r>
        <w:rPr>
          <w:rFonts w:ascii="仿宋_GB2312" w:hAnsi="仿宋_GB2312" w:cs="仿宋_GB2312" w:eastAsia="仿宋_GB2312"/>
        </w:rPr>
        <w:t>陕西长青国家级自然保护区管理局</w:t>
      </w:r>
      <w:r>
        <w:rPr>
          <w:rFonts w:ascii="仿宋_GB2312" w:hAnsi="仿宋_GB2312" w:cs="仿宋_GB2312" w:eastAsia="仿宋_GB2312"/>
        </w:rPr>
        <w:t>委托，拟对</w:t>
      </w:r>
      <w:r>
        <w:rPr>
          <w:rFonts w:ascii="仿宋_GB2312" w:hAnsi="仿宋_GB2312" w:cs="仿宋_GB2312" w:eastAsia="仿宋_GB2312"/>
        </w:rPr>
        <w:t>2025年度森林生态保护修复补偿项目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XNW-2025028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2025年度森林生态保护修复补偿项目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了提升资源保护信息能力，拟为资源保护信息化系统购置更新服务器4台、万兆交换机2台、国产数据库1套、机柜及配件1套，并完成资源保护信息化平台国产化兼容性研发及平台数据整合迁移工作1项，以确保生态资源保护数据的安全性。</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3、投标授权代表：法定代表人或单位负责人授权书及被授权人身份证（法定代表人或单位负责人直接参加投标除外，但须出示法定代表人或单位负责人身份证及营业执照复印件）。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4、控股管理关系：提供直接控股和管理关系清单。若与其他投标人存在单位负责人为同一人或者存在直接控股、管理关系的，则投标无效。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5、非联合体不分包投标声明：本项目不接受联合体响应，不允许分包。供应商提供《非联合体不分包投标声明》，视为独立响应，不分包。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陕西长青国家级自然保护区管理局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汉中市汉台区东一环路176号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0916-2593618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陕西旭诺维项目管理有限公司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汉中市汉台区石马路汉菲曼酒店17楼07室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0916-2608638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采购包1：1,145,900.00元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开户名称：陕西旭诺维项目管理有限公司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 6080 1421 0077 13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代理服务费收费标准：《国家发展改革委关于进一步放开建设项目专业服务价格的通知》（发改价格〔2015〕299号）文收费标准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陕西长青国家级自然保护区管理局</w:t>
      </w:r>
      <w:r>
        <w:rPr>
          <w:rFonts w:ascii="仿宋_GB2312" w:hAnsi="仿宋_GB2312" w:cs="仿宋_GB2312" w:eastAsia="仿宋_GB2312"/>
        </w:rPr>
        <w:t>和</w:t>
      </w:r>
      <w:r>
        <w:rPr>
          <w:rFonts w:ascii="仿宋_GB2312" w:hAnsi="仿宋_GB2312" w:cs="仿宋_GB2312" w:eastAsia="仿宋_GB2312"/>
        </w:rPr>
        <w:t>陕西旭诺维项目管理有限公司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陕西长青国家级自然保护区管理局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陕西旭诺维项目管理有限公司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陕西长青国家级自然保护区管理局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陕西旭诺维项目管理有限公司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按信息化建设相关标准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陕西旭诺维项目管理有限公司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陕西旭诺维项目管理有限公司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陕西旭诺维项目管理有限公司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联系人：郑工</w:t>
      </w:r>
    </w:p>
    <w:p>
      <w:pPr>
        <w:pStyle w:val="null3"/>
      </w:pPr>
      <w:r>
        <w:rPr>
          <w:rFonts w:ascii="仿宋_GB2312" w:hAnsi="仿宋_GB2312" w:cs="仿宋_GB2312" w:eastAsia="仿宋_GB2312"/>
        </w:rPr>
        <w:t>联系电话：0916-2608638</w:t>
      </w:r>
    </w:p>
    <w:p>
      <w:pPr>
        <w:pStyle w:val="null3"/>
      </w:pPr>
      <w:r>
        <w:rPr>
          <w:rFonts w:ascii="仿宋_GB2312" w:hAnsi="仿宋_GB2312" w:cs="仿宋_GB2312" w:eastAsia="仿宋_GB2312"/>
        </w:rPr>
        <w:t>地址：汉中市汉台区石马路汉菲曼酒店17楼07室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提升资源保护信息能力，拟为资源保护信息化系统购置更新服务器4台、万兆交换机2台、国产数据库1套、机柜及配件1套，并完成资源保护信息化平台国产化兼容性研发及平台数据整合迁移工作1项，以确保生态资源保护数据的安全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1,145,900.00</w:t>
      </w:r>
    </w:p>
    <w:p>
      <w:pPr>
        <w:pStyle w:val="null3"/>
      </w:pPr>
      <w:r>
        <w:rPr>
          <w:rFonts w:ascii="仿宋_GB2312" w:hAnsi="仿宋_GB2312" w:cs="仿宋_GB2312" w:eastAsia="仿宋_GB2312"/>
        </w:rPr>
        <w:t>采购包最高限价（元）: 1,145,900.00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陕西长青国家级自然保护区管理局2025年度森林生态保护修复补偿项目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1,145,900.00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标的名称：陕西长青国家级自然保护区管理局2025年度森林生态保护修复补偿项目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0"/>
              <w:jc w:val="left"/>
            </w:pPr>
            <w:r>
              <w:rPr>
                <w:rFonts w:ascii="仿宋_GB2312" w:hAnsi="仿宋_GB2312" w:cs="仿宋_GB2312" w:eastAsia="仿宋_GB2312"/>
                <w:sz w:val="21"/>
              </w:rPr>
              <w:t>（1）信息化平台服务器更新</w:t>
            </w:r>
          </w:p>
          <w:p>
            <w:pPr>
              <w:pStyle w:val="null3"/>
              <w:ind w:firstLine="600"/>
              <w:jc w:val="left"/>
            </w:pPr>
            <w:r>
              <w:rPr>
                <w:rFonts w:ascii="仿宋_GB2312" w:hAnsi="仿宋_GB2312" w:cs="仿宋_GB2312" w:eastAsia="仿宋_GB2312"/>
                <w:sz w:val="21"/>
              </w:rPr>
              <w:t>保护监测信息化平台当前运行服务器的操作系统是：Windows Server 2016 Datacenter，不能满足当前资源保护管理工作的需求，为了提高资源管护能力，有效提高资源保护管理平台的数据存储和访问安全，需购置更新4台信创服务器，具体参数如下表。</w:t>
            </w:r>
          </w:p>
          <w:p>
            <w:pPr>
              <w:pStyle w:val="null3"/>
              <w:ind w:firstLine="600"/>
              <w:jc w:val="left"/>
            </w:pPr>
            <w:r>
              <w:rPr>
                <w:rFonts w:ascii="仿宋_GB2312" w:hAnsi="仿宋_GB2312" w:cs="仿宋_GB2312" w:eastAsia="仿宋_GB2312"/>
                <w:sz w:val="21"/>
                <w:color w:val="000000"/>
              </w:rPr>
              <w:t>服务器参数表</w:t>
            </w:r>
          </w:p>
          <w:tbl>
            <w:tblPr>
              <w:tblBorders>
                <w:top w:val="none" w:color="000000" w:sz="4"/>
                <w:left w:val="none" w:color="000000" w:sz="4"/>
                <w:bottom w:val="none" w:color="000000" w:sz="4"/>
                <w:right w:val="none" w:color="000000" w:sz="4"/>
                <w:insideH w:val="none"/>
                <w:insideV w:val="none"/>
              </w:tblBorders>
            </w:tblPr>
            <w:tblGrid>
              <w:gridCol w:w="582"/>
              <w:gridCol w:w="1965"/>
            </w:tblGrid>
            <w:tr>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安装方式</w:t>
                  </w:r>
                </w:p>
              </w:tc>
              <w:tc>
                <w:tcPr>
                  <w:tcW w:type="dxa" w:w="1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2U机架式</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处理器(CPU)</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最少支持2颗</w:t>
                  </w:r>
                  <w:r>
                    <w:rPr>
                      <w:rFonts w:ascii="仿宋_GB2312" w:hAnsi="仿宋_GB2312" w:cs="仿宋_GB2312" w:eastAsia="仿宋_GB2312"/>
                      <w:sz w:val="21"/>
                      <w:color w:val="000000"/>
                    </w:rPr>
                    <w:t>鲲鹏920</w:t>
                  </w:r>
                  <w:r>
                    <w:rPr>
                      <w:rFonts w:ascii="仿宋_GB2312" w:hAnsi="仿宋_GB2312" w:cs="仿宋_GB2312" w:eastAsia="仿宋_GB2312"/>
                      <w:sz w:val="21"/>
                      <w:color w:val="000000"/>
                    </w:rPr>
                    <w:t>系列处理器</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内存容量</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w:t>
                  </w:r>
                  <w:r>
                    <w:rPr>
                      <w:rFonts w:ascii="仿宋_GB2312" w:hAnsi="仿宋_GB2312" w:cs="仿宋_GB2312" w:eastAsia="仿宋_GB2312"/>
                      <w:sz w:val="21"/>
                    </w:rPr>
                    <w:t>ECC 128GB  最大支持4TB内存扩展</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硬盘容量</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w:t>
                  </w:r>
                  <w:r>
                    <w:rPr>
                      <w:rFonts w:ascii="仿宋_GB2312" w:hAnsi="仿宋_GB2312" w:cs="仿宋_GB2312" w:eastAsia="仿宋_GB2312"/>
                      <w:sz w:val="21"/>
                    </w:rPr>
                    <w:t>SATA 1.8TB * 3</w:t>
                  </w:r>
                  <w:r>
                    <w:rPr>
                      <w:rFonts w:ascii="仿宋_GB2312" w:hAnsi="仿宋_GB2312" w:cs="仿宋_GB2312" w:eastAsia="仿宋_GB2312"/>
                      <w:sz w:val="21"/>
                    </w:rPr>
                    <w:t xml:space="preserve"> 企业级</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Raid卡</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w:t>
                  </w:r>
                  <w:r>
                    <w:rPr>
                      <w:rFonts w:ascii="仿宋_GB2312" w:hAnsi="仿宋_GB2312" w:cs="仿宋_GB2312" w:eastAsia="仿宋_GB2312"/>
                      <w:sz w:val="21"/>
                      <w:color w:val="000000"/>
                    </w:rPr>
                    <w:t>2G缓存 支持RAID0</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环境温度</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工作温度：5</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-40</w:t>
                  </w:r>
                  <w:r>
                    <w:rPr>
                      <w:rFonts w:ascii="仿宋_GB2312" w:hAnsi="仿宋_GB2312" w:cs="仿宋_GB2312" w:eastAsia="仿宋_GB2312"/>
                      <w:sz w:val="21"/>
                      <w:color w:val="000000"/>
                      <w:shd w:fill="FFFFFF" w:val="clear"/>
                    </w:rPr>
                    <w:t>°C</w:t>
                  </w:r>
                  <w:r>
                    <w:rPr>
                      <w:rFonts w:ascii="仿宋_GB2312" w:hAnsi="仿宋_GB2312" w:cs="仿宋_GB2312" w:eastAsia="仿宋_GB2312"/>
                      <w:sz w:val="21"/>
                      <w:color w:val="000000"/>
                    </w:rPr>
                    <w:t>存储温度：-40</w:t>
                  </w:r>
                  <w:r>
                    <w:rPr>
                      <w:rFonts w:ascii="仿宋_GB2312" w:hAnsi="仿宋_GB2312" w:cs="仿宋_GB2312" w:eastAsia="仿宋_GB2312"/>
                      <w:sz w:val="21"/>
                      <w:color w:val="000000"/>
                      <w:shd w:fill="FFFFFF" w:val="clear"/>
                    </w:rPr>
                    <w:t xml:space="preserve">°C </w:t>
                  </w:r>
                  <w:r>
                    <w:rPr>
                      <w:rFonts w:ascii="仿宋_GB2312" w:hAnsi="仿宋_GB2312" w:cs="仿宋_GB2312" w:eastAsia="仿宋_GB2312"/>
                      <w:sz w:val="21"/>
                      <w:color w:val="000000"/>
                    </w:rPr>
                    <w:t>- +65</w:t>
                  </w:r>
                  <w:r>
                    <w:rPr>
                      <w:rFonts w:ascii="仿宋_GB2312" w:hAnsi="仿宋_GB2312" w:cs="仿宋_GB2312" w:eastAsia="仿宋_GB2312"/>
                      <w:sz w:val="21"/>
                      <w:color w:val="000000"/>
                      <w:shd w:fill="FFFFFF" w:val="clear"/>
                    </w:rPr>
                    <w:t>°C</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端囗</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前置：1个VGA2个USB3.0；</w:t>
                  </w:r>
                </w:p>
                <w:p>
                  <w:pPr>
                    <w:pStyle w:val="null3"/>
                    <w:jc w:val="both"/>
                  </w:pPr>
                  <w:r>
                    <w:rPr>
                      <w:rFonts w:ascii="仿宋_GB2312" w:hAnsi="仿宋_GB2312" w:cs="仿宋_GB2312" w:eastAsia="仿宋_GB2312"/>
                      <w:sz w:val="21"/>
                      <w:color w:val="000000"/>
                    </w:rPr>
                    <w:t>后置：1个VGA2个USB301个千兆管理网口、DDR4 ECC RDIMM,MAX2933MHZ1个R45串口2组可选的网络播卡</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可选2*900W热插拔冗余电源；</w:t>
                  </w:r>
                </w:p>
                <w:p>
                  <w:pPr>
                    <w:pStyle w:val="null3"/>
                    <w:jc w:val="both"/>
                  </w:pPr>
                  <w:r>
                    <w:rPr>
                      <w:rFonts w:ascii="仿宋_GB2312" w:hAnsi="仿宋_GB2312" w:cs="仿宋_GB2312" w:eastAsia="仿宋_GB2312"/>
                      <w:sz w:val="21"/>
                      <w:color w:val="000000"/>
                    </w:rPr>
                    <w:t>最少</w:t>
                  </w:r>
                  <w:r>
                    <w:rPr>
                      <w:rFonts w:ascii="仿宋_GB2312" w:hAnsi="仿宋_GB2312" w:cs="仿宋_GB2312" w:eastAsia="仿宋_GB2312"/>
                      <w:sz w:val="21"/>
                      <w:color w:val="000000"/>
                    </w:rPr>
                    <w:t>支持2个900W或2000W热插拔白金电源模块，支持1+1冗余</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PCI-E扩展</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MAX</w:t>
                  </w:r>
                  <w:r>
                    <w:rPr>
                      <w:rFonts w:ascii="仿宋_GB2312" w:hAnsi="仿宋_GB2312" w:cs="仿宋_GB2312" w:eastAsia="仿宋_GB2312"/>
                      <w:sz w:val="21"/>
                      <w:color w:val="000000"/>
                    </w:rPr>
                    <w:t>最少</w:t>
                  </w:r>
                  <w:r>
                    <w:rPr>
                      <w:rFonts w:ascii="仿宋_GB2312" w:hAnsi="仿宋_GB2312" w:cs="仿宋_GB2312" w:eastAsia="仿宋_GB2312"/>
                      <w:sz w:val="21"/>
                      <w:color w:val="000000"/>
                    </w:rPr>
                    <w:t>支持8个PCle4.0x8或3个PCle4.0×16+2个PCle4.0x8标准插槽</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可选41G电口;支持2个板载网络插卡插槽，每插槽MAX支持4*1G/4*10G/4*25G网口，并支持标准PCIE网卡；</w:t>
                  </w:r>
                </w:p>
                <w:p>
                  <w:pPr>
                    <w:pStyle w:val="null3"/>
                    <w:jc w:val="both"/>
                  </w:pPr>
                  <w:r>
                    <w:rPr>
                      <w:rFonts w:ascii="仿宋_GB2312" w:hAnsi="仿宋_GB2312" w:cs="仿宋_GB2312" w:eastAsia="仿宋_GB2312"/>
                      <w:sz w:val="21"/>
                      <w:color w:val="000000"/>
                    </w:rPr>
                    <w:t>1*RJ45管理网口，1*RJ45形态调试串口</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尺寸</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工业标准机架式2U,宽447mm*高86mm*深790mm</w:t>
                  </w:r>
                </w:p>
              </w:tc>
            </w:tr>
          </w:tbl>
          <w:p>
            <w:pPr>
              <w:pStyle w:val="null3"/>
              <w:ind w:firstLine="600"/>
              <w:jc w:val="left"/>
            </w:pPr>
            <w:r>
              <w:rPr>
                <w:rFonts w:ascii="仿宋_GB2312" w:hAnsi="仿宋_GB2312" w:cs="仿宋_GB2312" w:eastAsia="仿宋_GB2312"/>
              </w:rPr>
              <w:t xml:space="preserve"> </w:t>
            </w:r>
          </w:p>
          <w:p>
            <w:pPr>
              <w:pStyle w:val="null3"/>
              <w:ind w:firstLine="600"/>
              <w:jc w:val="left"/>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00"/>
              <w:jc w:val="left"/>
            </w:pPr>
            <w:r>
              <w:rPr>
                <w:rFonts w:ascii="仿宋_GB2312" w:hAnsi="仿宋_GB2312" w:cs="仿宋_GB2312" w:eastAsia="仿宋_GB2312"/>
                <w:sz w:val="21"/>
              </w:rPr>
              <w:t>（2）万兆交换机购置</w:t>
            </w:r>
          </w:p>
          <w:p>
            <w:pPr>
              <w:pStyle w:val="null3"/>
              <w:ind w:firstLine="600"/>
              <w:jc w:val="left"/>
            </w:pPr>
            <w:r>
              <w:rPr>
                <w:rFonts w:ascii="仿宋_GB2312" w:hAnsi="仿宋_GB2312" w:cs="仿宋_GB2312" w:eastAsia="仿宋_GB2312"/>
                <w:sz w:val="21"/>
              </w:rPr>
              <w:t>为有效提高资源保护管理平台的数据存储和访问安全，需购置2台万兆交换机，具体参数如下表。</w:t>
            </w:r>
          </w:p>
          <w:p>
            <w:pPr>
              <w:pStyle w:val="null3"/>
              <w:ind w:firstLine="600"/>
              <w:jc w:val="left"/>
            </w:pPr>
            <w:r>
              <w:rPr>
                <w:rFonts w:ascii="仿宋_GB2312" w:hAnsi="仿宋_GB2312" w:cs="仿宋_GB2312" w:eastAsia="仿宋_GB2312"/>
                <w:sz w:val="21"/>
                <w:color w:val="000000"/>
              </w:rPr>
              <w:t>万兆交换机参数表</w:t>
            </w:r>
          </w:p>
          <w:tbl>
            <w:tblPr>
              <w:tblBorders>
                <w:top w:val="none" w:color="000000" w:sz="4"/>
                <w:left w:val="none" w:color="000000" w:sz="4"/>
                <w:bottom w:val="none" w:color="000000" w:sz="4"/>
                <w:right w:val="none" w:color="000000" w:sz="4"/>
                <w:insideH w:val="none"/>
                <w:insideV w:val="none"/>
              </w:tblBorders>
            </w:tblPr>
            <w:tblGrid>
              <w:gridCol w:w="558"/>
              <w:gridCol w:w="1989"/>
            </w:tblGrid>
            <w:tr>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交换容量</w:t>
                  </w:r>
                </w:p>
              </w:tc>
              <w:tc>
                <w:tcPr>
                  <w:tcW w:type="dxa" w:w="1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2.56Tbps/23.04Tbps</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包转发率</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w:t>
                  </w:r>
                  <w:r>
                    <w:rPr>
                      <w:rFonts w:ascii="仿宋_GB2312" w:hAnsi="仿宋_GB2312" w:cs="仿宋_GB2312" w:eastAsia="仿宋_GB2312"/>
                      <w:sz w:val="21"/>
                      <w:color w:val="000000"/>
                    </w:rPr>
                    <w:t>780Mpps</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固定端口</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w:t>
                  </w:r>
                  <w:r>
                    <w:rPr>
                      <w:rFonts w:ascii="仿宋_GB2312" w:hAnsi="仿宋_GB2312" w:cs="仿宋_GB2312" w:eastAsia="仿宋_GB2312"/>
                      <w:sz w:val="21"/>
                      <w:color w:val="000000"/>
                    </w:rPr>
                    <w:t>52个万兆SFP+端口、交流供电,前维护</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基本尺寸</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442×220x43.6mm</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机箱高度</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1U</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电源类型</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内置AC电源（前置）</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额定电压</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应在以下范围之内：</w:t>
                  </w:r>
                </w:p>
                <w:p>
                  <w:pPr>
                    <w:pStyle w:val="null3"/>
                    <w:jc w:val="both"/>
                  </w:pPr>
                  <w:r>
                    <w:rPr>
                      <w:rFonts w:ascii="仿宋_GB2312" w:hAnsi="仿宋_GB2312" w:cs="仿宋_GB2312" w:eastAsia="仿宋_GB2312"/>
                      <w:sz w:val="21"/>
                      <w:color w:val="000000"/>
                    </w:rPr>
                    <w:t>交流输入：100-130VAC/200-240VAC;50/60Hz</w:t>
                  </w:r>
                </w:p>
                <w:p>
                  <w:pPr>
                    <w:pStyle w:val="null3"/>
                    <w:jc w:val="both"/>
                  </w:pPr>
                  <w:r>
                    <w:rPr>
                      <w:rFonts w:ascii="仿宋_GB2312" w:hAnsi="仿宋_GB2312" w:cs="仿宋_GB2312" w:eastAsia="仿宋_GB2312"/>
                      <w:sz w:val="21"/>
                      <w:color w:val="000000"/>
                    </w:rPr>
                    <w:t>高压直流输入240VDC</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最大电压</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应在以下范围之内：</w:t>
                  </w:r>
                </w:p>
                <w:p>
                  <w:pPr>
                    <w:pStyle w:val="null3"/>
                    <w:jc w:val="both"/>
                  </w:pPr>
                  <w:r>
                    <w:rPr>
                      <w:rFonts w:ascii="仿宋_GB2312" w:hAnsi="仿宋_GB2312" w:cs="仿宋_GB2312" w:eastAsia="仿宋_GB2312"/>
                      <w:sz w:val="21"/>
                      <w:color w:val="000000"/>
                    </w:rPr>
                    <w:t>交流输入：90VAC-290VAC;45Hz-65Hz</w:t>
                  </w:r>
                </w:p>
                <w:p>
                  <w:pPr>
                    <w:pStyle w:val="null3"/>
                    <w:jc w:val="both"/>
                  </w:pPr>
                  <w:r>
                    <w:rPr>
                      <w:rFonts w:ascii="仿宋_GB2312" w:hAnsi="仿宋_GB2312" w:cs="仿宋_GB2312" w:eastAsia="仿宋_GB2312"/>
                      <w:sz w:val="21"/>
                      <w:color w:val="000000"/>
                    </w:rPr>
                    <w:t>高压直流输入：190VDC-290VDC</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最大功耗</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不高于</w:t>
                  </w:r>
                  <w:r>
                    <w:rPr>
                      <w:rFonts w:ascii="仿宋_GB2312" w:hAnsi="仿宋_GB2312" w:cs="仿宋_GB2312" w:eastAsia="仿宋_GB2312"/>
                      <w:sz w:val="21"/>
                      <w:color w:val="000000"/>
                    </w:rPr>
                    <w:t>111W</w:t>
                  </w:r>
                </w:p>
                <w:p>
                  <w:pPr>
                    <w:pStyle w:val="null3"/>
                    <w:jc w:val="both"/>
                  </w:pPr>
                  <w:r>
                    <w:rPr>
                      <w:rFonts w:ascii="仿宋_GB2312" w:hAnsi="仿宋_GB2312" w:cs="仿宋_GB2312" w:eastAsia="仿宋_GB2312"/>
                      <w:sz w:val="21"/>
                      <w:color w:val="000000"/>
                    </w:rPr>
                    <w:t>典型功耗：</w:t>
                  </w:r>
                  <w:r>
                    <w:rPr>
                      <w:rFonts w:ascii="仿宋_GB2312" w:hAnsi="仿宋_GB2312" w:cs="仿宋_GB2312" w:eastAsia="仿宋_GB2312"/>
                      <w:sz w:val="21"/>
                      <w:color w:val="000000"/>
                    </w:rPr>
                    <w:t>不高于</w:t>
                  </w:r>
                  <w:r>
                    <w:rPr>
                      <w:rFonts w:ascii="仿宋_GB2312" w:hAnsi="仿宋_GB2312" w:cs="仿宋_GB2312" w:eastAsia="仿宋_GB2312"/>
                      <w:sz w:val="21"/>
                      <w:color w:val="000000"/>
                    </w:rPr>
                    <w:t>87W</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工作温度</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0-1800m:-5-45°C;</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存储温度</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-40°C-+70°C</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相对湿度</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5%95%（无凝露）</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重量</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4.</w:t>
                  </w:r>
                  <w:r>
                    <w:rPr>
                      <w:rFonts w:ascii="仿宋_GB2312" w:hAnsi="仿宋_GB2312" w:cs="仿宋_GB2312" w:eastAsia="仿宋_GB2312"/>
                      <w:sz w:val="21"/>
                      <w:color w:val="000000"/>
                    </w:rPr>
                    <w:t>5</w:t>
                  </w:r>
                  <w:r>
                    <w:rPr>
                      <w:rFonts w:ascii="仿宋_GB2312" w:hAnsi="仿宋_GB2312" w:cs="仿宋_GB2312" w:eastAsia="仿宋_GB2312"/>
                      <w:sz w:val="21"/>
                      <w:color w:val="000000"/>
                    </w:rPr>
                    <w:t>kg</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电源口防雷</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差模±6kV，共模±6kV</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散热方式</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风冷散热</w:t>
                  </w:r>
                </w:p>
              </w:tc>
            </w:tr>
          </w:tbl>
          <w:p>
            <w:pPr>
              <w:pStyle w:val="null3"/>
              <w:ind w:firstLine="600"/>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600"/>
              <w:jc w:val="left"/>
            </w:pPr>
            <w:r>
              <w:rPr>
                <w:rFonts w:ascii="仿宋_GB2312" w:hAnsi="仿宋_GB2312" w:cs="仿宋_GB2312" w:eastAsia="仿宋_GB2312"/>
                <w:sz w:val="21"/>
              </w:rPr>
              <w:t>（3）国产数据库建设</w:t>
            </w:r>
          </w:p>
          <w:p>
            <w:pPr>
              <w:pStyle w:val="null3"/>
              <w:ind w:firstLine="600"/>
              <w:jc w:val="left"/>
            </w:pPr>
            <w:r>
              <w:rPr>
                <w:rFonts w:ascii="仿宋_GB2312" w:hAnsi="仿宋_GB2312" w:cs="仿宋_GB2312" w:eastAsia="仿宋_GB2312"/>
                <w:sz w:val="21"/>
              </w:rPr>
              <w:t xml:space="preserve">资源保护管理平台当前使用的数据库是：Mysql v5.7.31，不能满足当前需求，为了达到信创的相关标准，需要升级为国产化的数据库软件。本次升级需要选用国产数据库系统安全版，是完全自主知识产权的国产数据库产品，数据库管理系统凭借优秀的体系架构、稳定优异的数据访问性能、丰富的企业功能、灵活的扩展能力在全国各个行业获得广泛的认可，并在政府、教育、制造、能源、交通、军工等多个领域得到广泛的应用。该国产数据库已连续多年入围重点采购序列，通过多家权威机构的技术测评并取得了多项权威认证，具体参数详见下表。  </w:t>
            </w:r>
          </w:p>
          <w:p>
            <w:pPr>
              <w:pStyle w:val="null3"/>
              <w:ind w:firstLine="600"/>
              <w:jc w:val="left"/>
            </w:pPr>
            <w:r>
              <w:rPr>
                <w:rFonts w:ascii="仿宋_GB2312" w:hAnsi="仿宋_GB2312" w:cs="仿宋_GB2312" w:eastAsia="仿宋_GB2312"/>
                <w:sz w:val="21"/>
                <w:color w:val="000000"/>
              </w:rPr>
              <w:t>数据库参数</w:t>
            </w:r>
          </w:p>
          <w:tbl>
            <w:tblPr>
              <w:tblInd w:type="dxa" w:w="120"/>
              <w:tblBorders>
                <w:top w:val="none" w:color="000000" w:sz="4"/>
                <w:left w:val="none" w:color="000000" w:sz="4"/>
                <w:bottom w:val="none" w:color="000000" w:sz="4"/>
                <w:right w:val="none" w:color="000000" w:sz="4"/>
                <w:insideH w:val="none"/>
                <w:insideV w:val="none"/>
              </w:tblBorders>
            </w:tblPr>
            <w:tblGrid>
              <w:gridCol w:w="364"/>
              <w:gridCol w:w="2182"/>
            </w:tblGrid>
            <w:tr>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产品型号</w:t>
                  </w:r>
                </w:p>
              </w:tc>
              <w:tc>
                <w:tcPr>
                  <w:tcW w:type="dxa" w:w="2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产品规格</w:t>
                  </w:r>
                </w:p>
              </w:tc>
            </w:tr>
            <w:tr>
              <w:tc>
                <w:tcPr>
                  <w:tcW w:type="dxa" w:w="36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国产数据库</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1.产品型号属于《aktd工程核心产品名录》中，提供原厂承诺函并盖章；</w:t>
                  </w:r>
                </w:p>
              </w:tc>
            </w:tr>
            <w:tr>
              <w:tc>
                <w:tcPr>
                  <w:tcW w:type="dxa" w:w="364"/>
                  <w:vMerge/>
                  <w:tcBorders>
                    <w:top w:val="none" w:color="000000" w:sz="4"/>
                    <w:left w:val="single" w:color="000000" w:sz="4"/>
                    <w:bottom w:val="none" w:color="000000" w:sz="4"/>
                    <w:right w:val="single" w:color="000000" w:sz="4"/>
                  </w:tcBorders>
                </w:tcP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2.支持国产硬件体系，支持飞腾系列、龙芯系列、申威系列、兆芯系列、鲲鹏系列、海光系列等不同CPU架构的服务器；支持国产操作系统平台（UOS、麒麟、凝思磐石、中科方德、深之度、普华等</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提供数据库图形化和命令行工具，包括数据库管理工具、迁移工具等，能够方便完成数据库管理、维护、迁移等工作。</w:t>
                  </w:r>
                </w:p>
              </w:tc>
            </w:tr>
            <w:tr>
              <w:tc>
                <w:tcPr>
                  <w:tcW w:type="dxa" w:w="364"/>
                  <w:vMerge/>
                  <w:tcBorders>
                    <w:top w:val="none" w:color="000000" w:sz="4"/>
                    <w:left w:val="single" w:color="000000" w:sz="4"/>
                    <w:bottom w:val="none" w:color="000000" w:sz="4"/>
                    <w:right w:val="single" w:color="000000" w:sz="4"/>
                  </w:tcBorders>
                </w:tcP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3.支持多范围数据类型，支持通过编写简单的查询处理复杂的范围数据;支持lz4算法进行数据压缩实现高压缩比，节省磁盘空间；提供国家级实验室的证明材料；</w:t>
                  </w:r>
                </w:p>
              </w:tc>
            </w:tr>
            <w:tr>
              <w:tc>
                <w:tcPr>
                  <w:tcW w:type="dxa" w:w="364"/>
                  <w:vMerge/>
                  <w:tcBorders>
                    <w:top w:val="none" w:color="000000" w:sz="4"/>
                    <w:left w:val="single" w:color="000000" w:sz="4"/>
                    <w:bottom w:val="none" w:color="000000" w:sz="4"/>
                    <w:right w:val="single" w:color="000000" w:sz="4"/>
                  </w:tcBorders>
                </w:tcP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4.支持数据文件到表的快速转换功能，提供分区表的大量数据导入及索引的创建，实现数据文件到表的快速转换。提供国家级实验室的证明材料；</w:t>
                  </w:r>
                </w:p>
              </w:tc>
            </w:tr>
            <w:tr>
              <w:tc>
                <w:tcPr>
                  <w:tcW w:type="dxa" w:w="364"/>
                  <w:vMerge/>
                  <w:tcBorders>
                    <w:top w:val="none" w:color="000000" w:sz="4"/>
                    <w:left w:val="single" w:color="000000" w:sz="4"/>
                    <w:bottom w:val="none" w:color="000000" w:sz="4"/>
                    <w:right w:val="single" w:color="000000" w:sz="4"/>
                  </w:tcBorders>
                </w:tcP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19"/>
                    </w:rPr>
                    <w:t xml:space="preserve"> </w:t>
                  </w:r>
                  <w:r>
                    <w:rPr>
                      <w:rFonts w:ascii="仿宋_GB2312" w:hAnsi="仿宋_GB2312" w:cs="仿宋_GB2312" w:eastAsia="仿宋_GB2312"/>
                      <w:sz w:val="21"/>
                      <w:color w:val="000000"/>
                    </w:rPr>
                    <w:t>数据库集群鲁棒性强，集群因意料外情况中断服务，在服务器启动顺序不可预估的场景下可保证数据库主备不发生意料外的切换；提供国家级实验室的证明材料；</w:t>
                  </w:r>
                </w:p>
              </w:tc>
            </w:tr>
            <w:tr>
              <w:tc>
                <w:tcPr>
                  <w:tcW w:type="dxa" w:w="364"/>
                  <w:vMerge/>
                  <w:tcBorders>
                    <w:top w:val="none" w:color="000000" w:sz="4"/>
                    <w:left w:val="single" w:color="000000" w:sz="4"/>
                    <w:bottom w:val="none" w:color="000000" w:sz="4"/>
                    <w:right w:val="single" w:color="000000" w:sz="4"/>
                  </w:tcBorders>
                </w:tcP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6.支持内存引擎功能，TPCH测试单机性能提升超过70%，100并发情况下性能提升超过20%；提供国家级实验室的证明材料；</w:t>
                  </w:r>
                </w:p>
              </w:tc>
            </w:tr>
            <w:tr>
              <w:tc>
                <w:tcPr>
                  <w:tcW w:type="dxa" w:w="364"/>
                  <w:vMerge/>
                  <w:tcBorders>
                    <w:top w:val="none" w:color="000000" w:sz="4"/>
                    <w:left w:val="single" w:color="000000" w:sz="4"/>
                    <w:bottom w:val="none" w:color="000000" w:sz="4"/>
                    <w:right w:val="single" w:color="000000" w:sz="4"/>
                  </w:tcBorders>
                </w:tcP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7.支持双端口和双解析器功能，支持双端口的监听和登录，双端口查询内容一致，支持双解析器自由切换，切换后支持对应语法解析。</w:t>
                  </w:r>
                </w:p>
              </w:tc>
            </w:tr>
            <w:tr>
              <w:tc>
                <w:tcPr>
                  <w:tcW w:type="dxa" w:w="364"/>
                  <w:vMerge/>
                  <w:tcBorders>
                    <w:top w:val="none" w:color="000000" w:sz="4"/>
                    <w:left w:val="single" w:color="000000" w:sz="4"/>
                    <w:bottom w:val="none" w:color="000000" w:sz="4"/>
                    <w:right w:val="single" w:color="000000" w:sz="4"/>
                  </w:tcBorders>
                </w:tcP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8.具备智能识别备份断点功能，能够实现断点续传，自动跳过已备份的数据，从上次停止的位置继续备份，节约数据恢复时间并提升备份效率。需提供由工信部下属的专业测评机构出具的带有CNAS标识的测试报告。</w:t>
                  </w:r>
                </w:p>
              </w:tc>
            </w:tr>
            <w:tr>
              <w:tc>
                <w:tcPr>
                  <w:tcW w:type="dxa" w:w="364"/>
                  <w:vMerge/>
                  <w:tcBorders>
                    <w:top w:val="none" w:color="000000" w:sz="4"/>
                    <w:left w:val="single" w:color="000000" w:sz="4"/>
                    <w:bottom w:val="none" w:color="000000" w:sz="4"/>
                    <w:right w:val="single" w:color="000000" w:sz="4"/>
                  </w:tcBorders>
                </w:tcP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能够提供PostGIS空间数据引擎的相关组件，提供第三方权威机构出具的带CNAS标识的测试报告复印件。</w:t>
                  </w:r>
                </w:p>
              </w:tc>
            </w:tr>
          </w:tbl>
          <w:p>
            <w:pPr>
              <w:pStyle w:val="null3"/>
              <w:ind w:firstLine="600"/>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ind w:firstLine="600"/>
              <w:jc w:val="left"/>
            </w:pPr>
            <w:r>
              <w:rPr>
                <w:rFonts w:ascii="仿宋_GB2312" w:hAnsi="仿宋_GB2312" w:cs="仿宋_GB2312" w:eastAsia="仿宋_GB2312"/>
                <w:sz w:val="21"/>
              </w:rPr>
              <w:t>（4）资源保护管理平台国产化兼容性提升及数据迁移</w:t>
            </w:r>
          </w:p>
          <w:p>
            <w:pPr>
              <w:pStyle w:val="null3"/>
              <w:ind w:firstLine="600"/>
              <w:jc w:val="left"/>
            </w:pPr>
            <w:r>
              <w:rPr>
                <w:rFonts w:ascii="仿宋_GB2312" w:hAnsi="仿宋_GB2312" w:cs="仿宋_GB2312" w:eastAsia="仿宋_GB2312"/>
                <w:sz w:val="21"/>
              </w:rPr>
              <w:t>按照国家信创设备替换工作计划要求，长青保护区资源保护管理信息化平台当前运行所需要的基础运行环境，需要全部重新进行搭建，包括操作系统的安装、网络环境的配置、第三方依赖软件的安装和配置、软件运行环境搭建、业务应用系统适配升级，具体如下：</w:t>
            </w:r>
          </w:p>
          <w:p>
            <w:pPr>
              <w:pStyle w:val="null3"/>
              <w:ind w:firstLine="600"/>
              <w:jc w:val="left"/>
            </w:pPr>
            <w:r>
              <w:rPr>
                <w:rFonts w:ascii="仿宋_GB2312" w:hAnsi="仿宋_GB2312" w:cs="仿宋_GB2312" w:eastAsia="仿宋_GB2312"/>
                <w:sz w:val="21"/>
              </w:rPr>
              <w:t>①根据国家公园感知系统架构，对操作系统和网络环境进行重新搭建，开展操作系统的安装和配置，安全策略设置，网络端口优化等工作，确保服务器和现有网络环境的互联互通。</w:t>
            </w:r>
          </w:p>
          <w:p>
            <w:pPr>
              <w:pStyle w:val="null3"/>
              <w:ind w:firstLine="600"/>
              <w:jc w:val="left"/>
            </w:pPr>
            <w:r>
              <w:rPr>
                <w:rFonts w:ascii="仿宋_GB2312" w:hAnsi="仿宋_GB2312" w:cs="仿宋_GB2312" w:eastAsia="仿宋_GB2312"/>
                <w:sz w:val="21"/>
              </w:rPr>
              <w:t>②将系统运行所需要的第三方软件包进行安装部署，包括：mongodb、redis、nginx等。获取到适配国产操作系统的软件安装包，按照适当的安装方式（以离线安装包或者在线下载的方式），进行编译安装或者二进制包的安装；安装成功后，需要进行相应的配置设置，保障项目软件系统能正常运行。</w:t>
            </w:r>
          </w:p>
          <w:p>
            <w:pPr>
              <w:pStyle w:val="null3"/>
              <w:ind w:firstLine="600"/>
              <w:jc w:val="left"/>
            </w:pPr>
            <w:r>
              <w:rPr>
                <w:rFonts w:ascii="仿宋_GB2312" w:hAnsi="仿宋_GB2312" w:cs="仿宋_GB2312" w:eastAsia="仿宋_GB2312"/>
                <w:sz w:val="21"/>
              </w:rPr>
              <w:t>③按照国产数据库的安装部署流程，进行数据库系统的一些安全策略设置，安装业务应用系统软件运行所必须的一些基础环境，包括nvm、nodejs、net framework、geoserver、postgi</w:t>
            </w:r>
            <w:r>
              <w:rPr>
                <w:rFonts w:ascii="仿宋_GB2312" w:hAnsi="仿宋_GB2312" w:cs="仿宋_GB2312" w:eastAsia="仿宋_GB2312"/>
                <w:sz w:val="21"/>
              </w:rPr>
              <w:t>s</w:t>
            </w:r>
            <w:r>
              <w:rPr>
                <w:rFonts w:ascii="仿宋_GB2312" w:hAnsi="仿宋_GB2312" w:cs="仿宋_GB2312" w:eastAsia="仿宋_GB2312"/>
                <w:sz w:val="21"/>
              </w:rPr>
              <w:t>等，整体优化软件运行环境，确保信息化平台数据库系统的运行安全。</w:t>
            </w:r>
          </w:p>
          <w:p>
            <w:pPr>
              <w:pStyle w:val="null3"/>
              <w:ind w:firstLine="600"/>
              <w:jc w:val="left"/>
            </w:pPr>
            <w:r>
              <w:rPr>
                <w:rFonts w:ascii="仿宋_GB2312" w:hAnsi="仿宋_GB2312" w:cs="仿宋_GB2312" w:eastAsia="仿宋_GB2312"/>
                <w:sz w:val="21"/>
              </w:rPr>
              <w:t>④业务数据整合迁移：按照更新数据库的特征，重点是数据类型的支持程度，重新进行数据物理模型的设计，明确数据格式转换，定制业务数据与空间数据的迁移策略，对原有数据库中迁移过来的内容进行确认与测试，确保迁移数据的准确性与时效性。</w:t>
            </w:r>
          </w:p>
          <w:p>
            <w:pPr>
              <w:pStyle w:val="null3"/>
              <w:ind w:firstLine="600"/>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600"/>
              <w:jc w:val="left"/>
            </w:pPr>
            <w:r>
              <w:rPr>
                <w:rFonts w:ascii="仿宋_GB2312" w:hAnsi="仿宋_GB2312" w:cs="仿宋_GB2312" w:eastAsia="仿宋_GB2312"/>
                <w:sz w:val="21"/>
              </w:rPr>
              <w:t>（5）机柜及相关配件</w:t>
            </w:r>
          </w:p>
          <w:p>
            <w:pPr>
              <w:pStyle w:val="null3"/>
              <w:ind w:firstLine="600"/>
              <w:jc w:val="left"/>
            </w:pPr>
            <w:r>
              <w:rPr>
                <w:rFonts w:ascii="仿宋_GB2312" w:hAnsi="仿宋_GB2312" w:cs="仿宋_GB2312" w:eastAsia="仿宋_GB2312"/>
                <w:sz w:val="21"/>
                <w:color w:val="000000"/>
              </w:rPr>
              <w:t>为保障机房硬件设备放置，需购置3套机柜及相关配件，具体包括42U型号机柜、显示器、电源线等。</w:t>
            </w:r>
          </w:p>
          <w:p>
            <w:pPr>
              <w:pStyle w:val="null3"/>
              <w:ind w:firstLine="600"/>
              <w:jc w:val="left"/>
            </w:pPr>
            <w:r>
              <w:rPr>
                <w:rFonts w:ascii="仿宋_GB2312" w:hAnsi="仿宋_GB2312" w:cs="仿宋_GB2312" w:eastAsia="仿宋_GB2312"/>
                <w:sz w:val="21"/>
                <w:color w:val="000000"/>
              </w:rPr>
              <w:t>机柜参数表</w:t>
            </w:r>
          </w:p>
          <w:tbl>
            <w:tblPr>
              <w:tblInd w:type="dxa" w:w="120"/>
              <w:tblBorders>
                <w:top w:val="none" w:color="000000" w:sz="4"/>
                <w:left w:val="none" w:color="000000" w:sz="4"/>
                <w:bottom w:val="none" w:color="000000" w:sz="4"/>
                <w:right w:val="none" w:color="000000" w:sz="4"/>
                <w:insideH w:val="none"/>
                <w:insideV w:val="none"/>
              </w:tblBorders>
            </w:tblPr>
            <w:tblGrid>
              <w:gridCol w:w="535"/>
              <w:gridCol w:w="2017"/>
            </w:tblGrid>
            <w:tr>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容量</w:t>
                  </w:r>
                </w:p>
              </w:tc>
              <w:tc>
                <w:tcPr>
                  <w:tcW w:type="dxa" w:w="2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42U</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门及门锁</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前后散热网门</w:t>
                  </w:r>
                </w:p>
              </w:tc>
            </w:tr>
          </w:tbl>
          <w:p>
            <w:pPr>
              <w:pStyle w:val="null3"/>
            </w:pPr>
            <w:r>
              <w:rPr>
                <w:rFonts w:ascii="仿宋_GB2312" w:hAnsi="仿宋_GB2312" w:cs="仿宋_GB2312" w:eastAsia="仿宋_GB2312"/>
                <w:sz w:val="21"/>
                <w:color w:val="000000"/>
              </w:rPr>
              <w:t xml:space="preserve">  显示器参数表</w:t>
            </w:r>
          </w:p>
          <w:tbl>
            <w:tblPr>
              <w:tblInd w:type="dxa" w:w="120"/>
              <w:tblBorders>
                <w:top w:val="none" w:color="000000" w:sz="4"/>
                <w:left w:val="none" w:color="000000" w:sz="4"/>
                <w:bottom w:val="none" w:color="000000" w:sz="4"/>
                <w:right w:val="none" w:color="000000" w:sz="4"/>
                <w:insideH w:val="none"/>
                <w:insideV w:val="none"/>
              </w:tblBorders>
            </w:tblPr>
            <w:tblGrid>
              <w:gridCol w:w="535"/>
              <w:gridCol w:w="2017"/>
            </w:tblGrid>
            <w:tr>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分辨率</w:t>
                  </w:r>
                </w:p>
              </w:tc>
              <w:tc>
                <w:tcPr>
                  <w:tcW w:type="dxa" w:w="2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不低于1920*1080</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屏幕刷新率</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不低于60Hz</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接口</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HDMI</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屏幕比例</w:t>
                  </w:r>
                </w:p>
              </w:tc>
              <w:tc>
                <w:tcPr>
                  <w:tcW w:type="dxa" w:w="2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16：9</w:t>
                  </w:r>
                </w:p>
              </w:tc>
            </w:tr>
          </w:tbl>
          <w:p>
            <w:pPr>
              <w:pStyle w:val="null3"/>
              <w:jc w:val="left"/>
            </w:pPr>
            <w:r>
              <w:rPr>
                <w:rFonts w:ascii="仿宋_GB2312" w:hAnsi="仿宋_GB2312" w:cs="仿宋_GB2312" w:eastAsia="仿宋_GB2312"/>
                <w:sz w:val="21"/>
                <w:color w:val="000000"/>
              </w:rPr>
              <w:t xml:space="preserve">  电源线参数表</w:t>
            </w:r>
          </w:p>
          <w:tbl>
            <w:tblPr>
              <w:tblInd w:type="dxa" w:w="120"/>
              <w:tblBorders>
                <w:top w:val="none" w:color="000000" w:sz="4"/>
                <w:left w:val="none" w:color="000000" w:sz="4"/>
                <w:bottom w:val="none" w:color="000000" w:sz="4"/>
                <w:right w:val="none" w:color="000000" w:sz="4"/>
                <w:insideH w:val="none"/>
                <w:insideV w:val="none"/>
              </w:tblBorders>
            </w:tblPr>
            <w:tblGrid>
              <w:gridCol w:w="529"/>
              <w:gridCol w:w="2023"/>
            </w:tblGrid>
            <w:tr>
              <w:tc>
                <w:tcPr>
                  <w:tcW w:type="dxa" w:w="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标准</w:t>
                  </w:r>
                </w:p>
              </w:tc>
              <w:tc>
                <w:tcPr>
                  <w:tcW w:type="dxa" w:w="20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国标三插头线</w:t>
                  </w:r>
                </w:p>
                <w:p>
                  <w:pPr>
                    <w:pStyle w:val="null3"/>
                    <w:jc w:val="both"/>
                  </w:pPr>
                  <w:r>
                    <w:rPr>
                      <w:rFonts w:ascii="仿宋_GB2312" w:hAnsi="仿宋_GB2312" w:cs="仿宋_GB2312" w:eastAsia="仿宋_GB2312"/>
                      <w:sz w:val="21"/>
                      <w:color w:val="000000"/>
                    </w:rPr>
                    <w:t xml:space="preserve">10A黑色凹槽品字尾  </w:t>
                  </w:r>
                </w:p>
                <w:p>
                  <w:pPr>
                    <w:pStyle w:val="null3"/>
                    <w:jc w:val="both"/>
                  </w:pPr>
                  <w:r>
                    <w:rPr>
                      <w:rFonts w:ascii="仿宋_GB2312" w:hAnsi="仿宋_GB2312" w:cs="仿宋_GB2312" w:eastAsia="仿宋_GB2312"/>
                      <w:sz w:val="21"/>
                      <w:color w:val="000000"/>
                    </w:rPr>
                    <w:t>2*2.5平方</w:t>
                  </w:r>
                </w:p>
              </w:tc>
            </w:tr>
          </w:tbl>
          <w:p>
            <w:pPr>
              <w:pStyle w:val="null3"/>
              <w:jc w:val="left"/>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2025年12月前完成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合同签订后，支付合同总金额的50%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项目验收合格后，支付合同总金额的50%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采购人按照政府采购相关法律法规以及《财政部关于进一步加强政府采购需求和履约验收管理的指导意见》（财库〔2016〕205 号）的要求；本项目合同；相关国家行业标准；本项目招标文件；中标人投标文件等进行验收。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1、任何一方违反合同约定内容的，则应承担相应的违约责任；对于造成对方损失的，应承担赔偿责任。 2、合同争议，应通过协商、谈判的方式解决。如协商、谈判不能解决的，任何一方可依法向项目所在地人民法院提起诉讼解决。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在中标结果公示后，中标人向代理机构提交纸质投标文件正本壹份、副本贰份、电子版U盘贰份，编辑目录和页码，内容和通过电子化交易平台实施的政府采购项目提交的投标文件一致。 2、纸质投标文件正副本分别胶装，加盖骑缝章。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营业执照等主体资格证明文件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无关联关系承诺书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非联合体不分包投标声明</w:t>
            </w:r>
          </w:p>
        </w:tc>
        <w:tc>
          <w:tcPr>
            <w:tcW w:type="dxa" w:w="3322"/>
          </w:tcPr>
          <w:p>
            <w:pPr>
              <w:pStyle w:val="null3"/>
            </w:pPr>
            <w:r>
              <w:rPr>
                <w:rFonts w:ascii="仿宋_GB2312" w:hAnsi="仿宋_GB2312" w:cs="仿宋_GB2312" w:eastAsia="仿宋_GB2312"/>
              </w:rPr>
              <w:t>本项目不接受联合体响应，不允许分包。供应商提供《非联合体不分包投标声明》，视为独立响应，不分包。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 投标文件封面 法定代表人证明书及法定代表人授权书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投标文件封面、投标函、法定代表人授权委托书三处的项目名称、项目编号、标段（如有）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投标函 投标文件封面 法定代表人证明书及法定代表人授权书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营业执照等主体资格证明文件 中小企业声明函 业绩 商务应答表 无关联关系承诺书 法定代表人证明书及法定代表人授权书 投标人情况表 合同基本条款响应 投标人应提交的相关资格证明材料 产品技术参数表 投标函 残疾人福利性单位声明函 投标分项报价表 非联合体不分包投标声明 标的清单 投标文件封面 采购服务机构拒绝政府采购领域商业贿赂承诺书 汉中市政府采购供应商资格承诺函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投标分项报价表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完全理解并接受对合格投标人、合格的货物、工程或服务要求，根据投标人投标文件《产品技术参数表》，结合招标文件第四章“★”标识的实质性要求没有负偏离。</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有完全理解并接受招标文件合同条款要求的描述。</w:t>
            </w:r>
          </w:p>
        </w:tc>
        <w:tc>
          <w:tcPr>
            <w:tcW w:type="dxa" w:w="1661"/>
          </w:tcPr>
          <w:p>
            <w:pPr>
              <w:pStyle w:val="null3"/>
            </w:pPr>
            <w:r>
              <w:rPr>
                <w:rFonts w:ascii="仿宋_GB2312" w:hAnsi="仿宋_GB2312" w:cs="仿宋_GB2312" w:eastAsia="仿宋_GB2312"/>
              </w:rPr>
              <w:t>合同基本条款响应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业绩 商务应答表 法定代表人证明书及法定代表人授权书 投标人应提交的相关资格证明材料 产品技术参数表 培训方案 投标函 投标分项报价表 标的清单 售后服务及响应 投标文件封面 采购服务机构拒绝政府采购领域商业贿赂承诺书 汉中市政府采购供应商资格承诺函 监狱企业的证明文件 营业执照等主体资格证明文件 中小企业声明函 无关联关系承诺书 承诺方案 投标人情况表 合同基本条款响应 质量保证 残疾人福利性单位声明函 非联合体不分包投标声明 实施方案</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供应商提供2022年1月1日以来完成的类似业绩，每提供一份计3分，最高计9分； 注：以成交通知书或协议书（合同）原件或加盖公章的复印件为准。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售后服务及响应</w:t>
            </w:r>
          </w:p>
        </w:tc>
        <w:tc>
          <w:tcPr>
            <w:tcW w:type="dxa" w:w="2492"/>
          </w:tcPr>
          <w:p>
            <w:pPr>
              <w:pStyle w:val="null3"/>
            </w:pPr>
            <w:r>
              <w:rPr>
                <w:rFonts w:ascii="仿宋_GB2312" w:hAnsi="仿宋_GB2312" w:cs="仿宋_GB2312" w:eastAsia="仿宋_GB2312"/>
              </w:rPr>
              <w:t>供应商有专业的售后服务团队，制定详细的供应商上门售后服务方案，包括但不限于：1、服务承诺；2、服务人员及服务地点；3、服务内容；4、响应时间；5、应急措施。 以上各项内容全面详细、阐述条理清晰得10分，每缺一项扣2分，每项中的内容存在缺陷，扣0.1-1.9分，扣完为止。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售后服务及响应</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具有详细可行的免费技术培训方案，包括但不限于:1、培训采购人指定的技术人员和管理人员；2、培训讲师安排；3、制定培训课程计划表；4、培训内容应包括产品原理，产品操作，保养维修，一般故障排除等技术；5、培训效果反馈。 以上各项内容全面明确、阐述条理清晰得10分，每缺一项扣2分，每项中的内容存在缺陷，扣0.1-1.9分，扣完为止。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w:t>
            </w:r>
          </w:p>
        </w:tc>
      </w:tr>
      <w:tr>
        <w:tc>
          <w:tcPr>
            <w:tcW w:type="dxa" w:w="831"/>
            <w:vMerge/>
          </w:tcP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所投产品技术参数规格明确，满足采购人使用的需求，对每项产品参数都进行明确响应，满足招标文件要求计8分。参数指标每有一项正偏离加1分，最多加3分。带“★”的参数不允许负偏离，若负偏离按无效投标处理。其它参数指标有一项负偏离扣1分，扣完为止。 备注：1.参数提供充足的佐证材料（例如：加盖生产厂家公章的检测报告、产品彩页、官网功能截图、生产厂家技术参数确认函并提供厂商相关资质证书等）若有提供虚假参数及材料应标的，经查实将按照有关法律规定进行严肃处理。 2.配置不详、规格型号描述不清，缺漏项、应答时缺项等视同负偏离处理。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投标分项报价表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供应商针对本项目制订具体的实施方案，包括但不限于：1、供货组织安排、安装、检测、调试措施；2、实施步骤、进度计划及保证措施；3、安全保障方案；4、组织机构人员配置、协调能力；5、验收方案。 以上各项内容全面详细、阐述条理清晰详尽、符合本项目采购需求，功能配置合理，能有效保障本项目实施的得10分，每缺一项扣2分，每项中的内容存在缺陷，扣0.1-1.9分，扣完为止。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供应商针对本项目所投产品质量方案： 包括但不限于：1、整体产品设计方案完善，架构清晰，充分考虑项目实际需求；2、所投产品选型合理、配置清单齐全，产品说明分析详尽、整体功能完备且满足采购人使用要求；3、所投产品备品备件储备齐全；4、所投产品设备进货渠道正规，有合法有效的供货协议（不限于销售协议、代理协议、原厂授权等），确保供应的设备无假货、水货、翻新货且无产权纠纷的；5、所投产品兼容方案。 以上各项内容全面明确、阐述条理清晰得10分，每缺一项扣2分，每项中的内容存在缺陷，扣0.1-1.9分，扣完为止。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w:t>
            </w:r>
          </w:p>
        </w:tc>
      </w:tr>
      <w:tr>
        <w:tc>
          <w:tcPr>
            <w:tcW w:type="dxa" w:w="831"/>
            <w:vMerge/>
          </w:tcPr>
          <w:p/>
        </w:tc>
        <w:tc>
          <w:tcPr>
            <w:tcW w:type="dxa" w:w="1661"/>
          </w:tcPr>
          <w:p>
            <w:pPr>
              <w:pStyle w:val="null3"/>
            </w:pPr>
            <w:r>
              <w:rPr>
                <w:rFonts w:ascii="仿宋_GB2312" w:hAnsi="仿宋_GB2312" w:cs="仿宋_GB2312" w:eastAsia="仿宋_GB2312"/>
              </w:rPr>
              <w:t>承诺方案</w:t>
            </w:r>
          </w:p>
        </w:tc>
        <w:tc>
          <w:tcPr>
            <w:tcW w:type="dxa" w:w="2492"/>
          </w:tcPr>
          <w:p>
            <w:pPr>
              <w:pStyle w:val="null3"/>
            </w:pPr>
            <w:r>
              <w:rPr>
                <w:rFonts w:ascii="仿宋_GB2312" w:hAnsi="仿宋_GB2312" w:cs="仿宋_GB2312" w:eastAsia="仿宋_GB2312"/>
              </w:rPr>
              <w:t>供应商需承诺：通过对现有保护监测信息化平台进行充分的调研，并主动与现有保护监测信息化平台开发商进行充分的沟通，制定合理的升级方案，确保现有业务功能的平滑升级，并承诺由此产生的任何费用都由供应商承担,且提供相关证明材料。以上各项内容全面明确得10分，每缺一项扣5分，每项中的内容存在缺陷，扣0.1-4.9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承诺方案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3、不享有政策优惠条件的投标人报价得分=（评审基准价/最终报价）×30。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详见附件：无关联关系承诺书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详见附件：投标人情况表</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详见附件：售后服务及响应</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详见附件：质量保证</w:t>
      </w:r>
    </w:p>
    <w:p>
      <w:pPr>
        <w:pStyle w:val="null3"/>
        <w:ind w:firstLine="960"/>
      </w:pPr>
      <w:r>
        <w:rPr>
          <w:rFonts w:ascii="仿宋_GB2312" w:hAnsi="仿宋_GB2312" w:cs="仿宋_GB2312" w:eastAsia="仿宋_GB2312"/>
        </w:rPr>
        <w:t>详见附件：承诺方案</w:t>
      </w:r>
    </w:p>
    <w:p>
      <w:pPr>
        <w:pStyle w:val="null3"/>
        <w:ind w:firstLine="960"/>
      </w:pPr>
      <w:r>
        <w:rPr>
          <w:rFonts w:ascii="仿宋_GB2312" w:hAnsi="仿宋_GB2312" w:cs="仿宋_GB2312" w:eastAsia="仿宋_GB2312"/>
        </w:rPr>
        <w:t>详见附件：采购服务机构拒绝政府采购领域商业贿赂承诺书</w:t>
      </w:r>
    </w:p>
    <w:p>
      <w:pPr>
        <w:pStyle w:val="null3"/>
        <w:ind w:firstLine="960"/>
      </w:pPr>
      <w:r>
        <w:rPr>
          <w:rFonts w:ascii="仿宋_GB2312" w:hAnsi="仿宋_GB2312" w:cs="仿宋_GB2312" w:eastAsia="仿宋_GB2312"/>
        </w:rPr>
        <w:t>详见附件：合同基本条款响应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详见附件：项目委托合同书(1).docx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