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版本号：SXWZ2025ZB-XJD-120.1B120250530001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电镜能谱一体机（镜头）采购项目(二次)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SXWZ2025ZB-XJD-120.1B1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电镜能谱一体机（镜头）采购项目(二次)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SXWZ2025ZB-XJD-120.1B1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电镜能谱一体机（镜头）采购项目(二次)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西安建筑科技大学电镜能谱一体机（镜头）采购项目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投标人须提供2024年5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3、税收缴纳证明：投标人须提供2024年5月至今已缴纳的至少一个月纳税证明或完税证明，依法免税的单位应提供相关证明材料。（以税款所属期限为准）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4、财务状况证明：提供经会计师事务所审计的2023年或2024年财务审计报告，或在开标日期前六个月内其基本开户银行出具的资信证明。</w:t>
      </w:r>
    </w:p>
    <w:p>
      <w:pPr>
        <w:pStyle w:val="null3"/>
      </w:pPr>
      <w:r>
        <w:rPr>
          <w:rFonts w:ascii="仿宋_GB2312" w:hAnsi="仿宋_GB2312" w:cs="仿宋_GB2312" w:eastAsia="仿宋_GB2312"/>
        </w:rPr>
        <w:t>5、无重大违法声明：投标人应出具参加本次政府采购活动前3年内在经营活动中没有重大违法违纪，以及未被列入失信被执行人、重大税收违法案件当事人名单、政府采购严重违法失信行为记录名单的书面声明。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进口产品授权：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8、非联合体声明：本项目不接受联合体谈判，供应商应提供非联合体声明函（格式自拟）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 号）文件规定标准计取 1.100 万元(不含)以下的项目，按照文件标准计费收取; 2.100万元(含)以上的项目，按照文件标准上限75%计费。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陈晓航 许芳芳 刘嘉辉</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电镜能谱一体机（镜头）采购项目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电镜能谱一体机（镜头）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标的名称：电镜能谱一体机（镜头）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一、技术标准：</w:t>
            </w:r>
          </w:p>
          <w:p>
            <w:pPr>
              <w:pStyle w:val="null3"/>
            </w:pPr>
            <w:r>
              <w:rPr>
                <w:rFonts w:ascii="仿宋_GB2312" w:hAnsi="仿宋_GB2312" w:cs="仿宋_GB2312" w:eastAsia="仿宋_GB2312"/>
              </w:rPr>
              <w:t>1.具体功能：配备背散射电子衍射分析（EBSD），用以实现各类晶体材料晶体结构的解析。满足晶粒尺寸、宏观织构、微区织构、再结晶/变形分数、亚结构、应变分析、晶界表征、CSL 晶界、相鉴别、相分布、相变过程、失效分析、透射菊池分析（TKD）等。需适配中心已购置的聚焦离子束扫描电子显微镜。</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2.1.高速低噪音CMOS相机，分辨率不低于1244*1024，取向精度≤0.05度；探测器进出最快速度不低于15mm/s，精度不低于100 μm；</w:t>
            </w:r>
          </w:p>
          <w:p>
            <w:pPr>
              <w:pStyle w:val="null3"/>
            </w:pPr>
            <w:r>
              <w:rPr>
                <w:rFonts w:ascii="仿宋_GB2312" w:hAnsi="仿宋_GB2312" w:cs="仿宋_GB2312" w:eastAsia="仿宋_GB2312"/>
              </w:rPr>
              <w:t>2.2.EBSD在线解析最高标定速度不低于5000pps，此时花样分辨率不低于156*128；</w:t>
            </w:r>
          </w:p>
          <w:p>
            <w:pPr>
              <w:pStyle w:val="null3"/>
            </w:pPr>
            <w:r>
              <w:rPr>
                <w:rFonts w:ascii="仿宋_GB2312" w:hAnsi="仿宋_GB2312" w:cs="仿宋_GB2312" w:eastAsia="仿宋_GB2312"/>
              </w:rPr>
              <w:t>2.3.配置探头仰角自动调节马达，在探测器完全深入状态下，探测器Z轴可通过软件在 ±5°范围内任意调整，而无需重新校准即可连续采集EBSD数据；</w:t>
            </w:r>
          </w:p>
          <w:p>
            <w:pPr>
              <w:pStyle w:val="null3"/>
            </w:pPr>
            <w:r>
              <w:rPr>
                <w:rFonts w:ascii="仿宋_GB2312" w:hAnsi="仿宋_GB2312" w:cs="仿宋_GB2312" w:eastAsia="仿宋_GB2312"/>
              </w:rPr>
              <w:t>2.4.防碰撞设计：具有主动式防碰撞传感器设计，在碰撞发生前探测器自动预警并后撤，起到保护EBSD作用；</w:t>
            </w:r>
          </w:p>
          <w:p>
            <w:pPr>
              <w:pStyle w:val="null3"/>
            </w:pPr>
            <w:r>
              <w:rPr>
                <w:rFonts w:ascii="仿宋_GB2312" w:hAnsi="仿宋_GB2312" w:cs="仿宋_GB2312" w:eastAsia="仿宋_GB2312"/>
              </w:rPr>
              <w:t>2.5.配置集成5块前散射探测器（FSD）成像系统。</w:t>
            </w:r>
          </w:p>
          <w:p>
            <w:pPr>
              <w:pStyle w:val="null3"/>
            </w:pPr>
            <w:r>
              <w:rPr>
                <w:rFonts w:ascii="仿宋_GB2312" w:hAnsi="仿宋_GB2312" w:cs="仿宋_GB2312" w:eastAsia="仿宋_GB2312"/>
              </w:rPr>
              <w:t>2.6.具备透射菊池衍射（TKD）功能，配置TKD 专用样品台。</w:t>
            </w:r>
          </w:p>
          <w:p>
            <w:pPr>
              <w:pStyle w:val="null3"/>
            </w:pPr>
            <w:r>
              <w:rPr>
                <w:rFonts w:ascii="仿宋_GB2312" w:hAnsi="仿宋_GB2312" w:cs="仿宋_GB2312" w:eastAsia="仿宋_GB2312"/>
              </w:rPr>
              <w:t>2.7.除主机自带磷屏外，额外配置两块磷屏，尺寸型号与主机标配一致，并提供免费更换服务。</w:t>
            </w:r>
          </w:p>
          <w:p>
            <w:pPr>
              <w:pStyle w:val="null3"/>
            </w:pPr>
            <w:r>
              <w:rPr>
                <w:rFonts w:ascii="仿宋_GB2312" w:hAnsi="仿宋_GB2312" w:cs="仿宋_GB2312" w:eastAsia="仿宋_GB2312"/>
              </w:rPr>
              <w:t>2.8.软件配置：</w:t>
            </w:r>
          </w:p>
          <w:p>
            <w:pPr>
              <w:pStyle w:val="null3"/>
            </w:pPr>
            <w:r>
              <w:rPr>
                <w:rFonts w:ascii="仿宋_GB2312" w:hAnsi="仿宋_GB2312" w:cs="仿宋_GB2312" w:eastAsia="仿宋_GB2312"/>
              </w:rPr>
              <w:t>2.8.1.操作软件采用多任务设计，可以同时并行数个任务，并支持分屏显示及远程控制；</w:t>
            </w:r>
          </w:p>
          <w:p>
            <w:pPr>
              <w:pStyle w:val="null3"/>
            </w:pPr>
            <w:r>
              <w:rPr>
                <w:rFonts w:ascii="仿宋_GB2312" w:hAnsi="仿宋_GB2312" w:cs="仿宋_GB2312" w:eastAsia="仿宋_GB2312"/>
              </w:rPr>
              <w:t>2.8.2.操作软件完全与能谱仪软件一体化，可根据能谱数据对EBSD花样进行预过滤，实现对未知相的相鉴定，实现能谱EBSD同时联机分析且不降速；</w:t>
            </w:r>
          </w:p>
          <w:p>
            <w:pPr>
              <w:pStyle w:val="null3"/>
            </w:pPr>
            <w:r>
              <w:rPr>
                <w:rFonts w:ascii="仿宋_GB2312" w:hAnsi="仿宋_GB2312" w:cs="仿宋_GB2312" w:eastAsia="仿宋_GB2312"/>
              </w:rPr>
              <w:t>2.8.3.电子图像分辨率≥8192*8192，EBSD面分布图分辨率≥4096*4096；</w:t>
            </w:r>
          </w:p>
          <w:p>
            <w:pPr>
              <w:pStyle w:val="null3"/>
            </w:pPr>
            <w:r>
              <w:rPr>
                <w:rFonts w:ascii="仿宋_GB2312" w:hAnsi="仿宋_GB2312" w:cs="仿宋_GB2312" w:eastAsia="仿宋_GB2312"/>
              </w:rPr>
              <w:t>2.8.4.动态自动背景扣除技术，探测器参数自动优化。切换样品、更换分析位置、以及EBSD探测器伸缩、倾转后均无需重新扣除动态背景或重新优化；</w:t>
            </w:r>
          </w:p>
          <w:p>
            <w:pPr>
              <w:pStyle w:val="null3"/>
            </w:pPr>
            <w:r>
              <w:rPr>
                <w:rFonts w:ascii="仿宋_GB2312" w:hAnsi="仿宋_GB2312" w:cs="仿宋_GB2312" w:eastAsia="仿宋_GB2312"/>
              </w:rPr>
              <w:t>2.8.5.能对所有对称性（从三斜到立方）晶体材料的EBSP花样进行自动化的标定，且各相的反射面可以独立选择，可利用衍射带边缘或中间进行识别。可识别菊池带宽度以区分晶体结构相似的相。</w:t>
            </w:r>
          </w:p>
          <w:p>
            <w:pPr>
              <w:pStyle w:val="null3"/>
            </w:pPr>
            <w:r>
              <w:rPr>
                <w:rFonts w:ascii="仿宋_GB2312" w:hAnsi="仿宋_GB2312" w:cs="仿宋_GB2312" w:eastAsia="仿宋_GB2312"/>
              </w:rPr>
              <w:t>2.8.6.晶体学数据库：配置 HKL 、 ICSD 晶体学数据库和NIST 数据库，数据容量不小于5万种，已经滤掉伪对称数据。</w:t>
            </w:r>
          </w:p>
          <w:p>
            <w:pPr>
              <w:pStyle w:val="null3"/>
            </w:pPr>
            <w:r>
              <w:rPr>
                <w:rFonts w:ascii="仿宋_GB2312" w:hAnsi="仿宋_GB2312" w:cs="仿宋_GB2312" w:eastAsia="仿宋_GB2312"/>
              </w:rPr>
              <w:t>2.8.7.采用最优化的Hough变换，多条带标定方法（最多可以用12条菊池带进行标定），根据平均角度偏差MAD等进行完全自动化的菊池带识别和花样标定。</w:t>
            </w:r>
          </w:p>
          <w:p>
            <w:pPr>
              <w:pStyle w:val="null3"/>
            </w:pPr>
            <w:r>
              <w:rPr>
                <w:rFonts w:ascii="仿宋_GB2312" w:hAnsi="仿宋_GB2312" w:cs="仿宋_GB2312" w:eastAsia="仿宋_GB2312"/>
              </w:rPr>
              <w:t>2.8.8.配有专用的高精度标定模式，实现更高角度分辨率的标定。</w:t>
            </w:r>
          </w:p>
          <w:p>
            <w:pPr>
              <w:pStyle w:val="null3"/>
            </w:pPr>
            <w:r>
              <w:rPr>
                <w:rFonts w:ascii="仿宋_GB2312" w:hAnsi="仿宋_GB2312" w:cs="仿宋_GB2312" w:eastAsia="仿宋_GB2312"/>
              </w:rPr>
              <w:t>2.8.9.EBSD 数据后处理：配有 64 位 EBSD 数据后处理软件包，支持中文界面，包含且不限于如下功能：数据修饰、晶粒统计、晶界分析、应变分析、极图和反极图、花样匹配标定技术、相鉴定分析、ODF分析、晶体反射文件生成、校准 EBSD 分析时由于漂移导致的与电子图像产生的失真等；</w:t>
            </w:r>
          </w:p>
          <w:p>
            <w:pPr>
              <w:pStyle w:val="null3"/>
            </w:pPr>
            <w:r>
              <w:rPr>
                <w:rFonts w:ascii="仿宋_GB2312" w:hAnsi="仿宋_GB2312" w:cs="仿宋_GB2312" w:eastAsia="仿宋_GB2312"/>
              </w:rPr>
              <w:t>2.8.10.其他必备软件：配置真实相分布功能、高级织构分析功能、分类功能、材料属性功能、母相晶粒重构功能、位错分析功能、CIF import 功能，大面积拼接功能。</w:t>
            </w:r>
          </w:p>
          <w:p>
            <w:pPr>
              <w:pStyle w:val="null3"/>
            </w:pPr>
            <w:r>
              <w:rPr>
                <w:rFonts w:ascii="仿宋_GB2312" w:hAnsi="仿宋_GB2312" w:cs="仿宋_GB2312" w:eastAsia="仿宋_GB2312"/>
              </w:rPr>
              <w:t>2.8.11.离线处理软件包2套。</w:t>
            </w:r>
          </w:p>
          <w:p>
            <w:pPr>
              <w:pStyle w:val="null3"/>
            </w:pPr>
            <w:r>
              <w:rPr>
                <w:rFonts w:ascii="仿宋_GB2312" w:hAnsi="仿宋_GB2312" w:cs="仿宋_GB2312" w:eastAsia="仿宋_GB2312"/>
              </w:rPr>
              <w:t>2.8.12.软件终生免费升级。</w:t>
            </w:r>
          </w:p>
          <w:p>
            <w:pPr>
              <w:pStyle w:val="null3"/>
            </w:pPr>
            <w:r>
              <w:rPr>
                <w:rFonts w:ascii="仿宋_GB2312" w:hAnsi="仿宋_GB2312" w:cs="仿宋_GB2312" w:eastAsia="仿宋_GB2312"/>
              </w:rPr>
              <w:t>3.供货要求</w:t>
            </w:r>
          </w:p>
          <w:p>
            <w:pPr>
              <w:pStyle w:val="null3"/>
            </w:pPr>
            <w:r>
              <w:rPr>
                <w:rFonts w:ascii="仿宋_GB2312" w:hAnsi="仿宋_GB2312" w:cs="仿宋_GB2312" w:eastAsia="仿宋_GB2312"/>
              </w:rPr>
              <w:t>供货期：自合同签订之日起180天，供货期是指供应商将所供产品送达项目实施地点且经安装调试达到正常使用状态所需要的时间。</w:t>
            </w:r>
          </w:p>
          <w:p>
            <w:pPr>
              <w:pStyle w:val="null3"/>
            </w:pPr>
            <w:r>
              <w:rPr>
                <w:rFonts w:ascii="仿宋_GB2312" w:hAnsi="仿宋_GB2312" w:cs="仿宋_GB2312" w:eastAsia="仿宋_GB2312"/>
              </w:rPr>
              <w:t>4.安装调试</w:t>
            </w:r>
          </w:p>
          <w:p>
            <w:pPr>
              <w:pStyle w:val="null3"/>
            </w:pPr>
            <w:r>
              <w:rPr>
                <w:rFonts w:ascii="仿宋_GB2312" w:hAnsi="仿宋_GB2312" w:cs="仿宋_GB2312" w:eastAsia="仿宋_GB2312"/>
              </w:rPr>
              <w:t>安装地点：西安建筑科技大学草堂校区分析测试中心</w:t>
            </w:r>
          </w:p>
          <w:p>
            <w:pPr>
              <w:pStyle w:val="null3"/>
            </w:pPr>
            <w:r>
              <w:rPr>
                <w:rFonts w:ascii="仿宋_GB2312" w:hAnsi="仿宋_GB2312" w:cs="仿宋_GB2312" w:eastAsia="仿宋_GB2312"/>
              </w:rPr>
              <w:t>安装及调试要求：免费对所有货物安装、调试，直至货物通过验收。提供成交货物齐全的资料（包括使用说明，安装手册，专用工具等）</w:t>
            </w:r>
          </w:p>
          <w:p>
            <w:pPr>
              <w:pStyle w:val="null3"/>
            </w:pPr>
            <w:r>
              <w:rPr>
                <w:rFonts w:ascii="仿宋_GB2312" w:hAnsi="仿宋_GB2312" w:cs="仿宋_GB2312" w:eastAsia="仿宋_GB2312"/>
              </w:rPr>
              <w:t>5.培训</w:t>
            </w:r>
          </w:p>
          <w:p>
            <w:pPr>
              <w:pStyle w:val="null3"/>
            </w:pPr>
            <w:r>
              <w:rPr>
                <w:rFonts w:ascii="仿宋_GB2312" w:hAnsi="仿宋_GB2312" w:cs="仿宋_GB2312" w:eastAsia="仿宋_GB2312"/>
              </w:rPr>
              <w:t>5.1.EBSD的培训在最终用户现场进行。培训内容包括仪器的原理、操作和维护等，并提供所需的设备使用说明。</w:t>
            </w:r>
          </w:p>
          <w:p>
            <w:pPr>
              <w:pStyle w:val="null3"/>
            </w:pPr>
            <w:r>
              <w:rPr>
                <w:rFonts w:ascii="仿宋_GB2312" w:hAnsi="仿宋_GB2312" w:cs="仿宋_GB2312" w:eastAsia="仿宋_GB2312"/>
              </w:rPr>
              <w:t>5.2.在设备使用一段时间后，最终用户有一定使用经验的基础上，制造商提供在线或者线下高级应用培训，并提供相关资料。</w:t>
            </w:r>
          </w:p>
          <w:p>
            <w:pPr>
              <w:pStyle w:val="null3"/>
            </w:pPr>
            <w:r>
              <w:rPr>
                <w:rFonts w:ascii="仿宋_GB2312" w:hAnsi="仿宋_GB2312" w:cs="仿宋_GB2312" w:eastAsia="仿宋_GB2312"/>
              </w:rPr>
              <w:t>5.3.制造商专职的应用专家随时提供关于仪器应用技术的咨询。</w:t>
            </w:r>
          </w:p>
          <w:p>
            <w:pPr>
              <w:pStyle w:val="null3"/>
            </w:pPr>
            <w:r>
              <w:rPr>
                <w:rFonts w:ascii="仿宋_GB2312" w:hAnsi="仿宋_GB2312" w:cs="仿宋_GB2312" w:eastAsia="仿宋_GB2312"/>
              </w:rPr>
              <w:t>6.售后服务</w:t>
            </w:r>
          </w:p>
          <w:p>
            <w:pPr>
              <w:pStyle w:val="null3"/>
            </w:pPr>
            <w:r>
              <w:rPr>
                <w:rFonts w:ascii="仿宋_GB2312" w:hAnsi="仿宋_GB2312" w:cs="仿宋_GB2312" w:eastAsia="仿宋_GB2312"/>
              </w:rPr>
              <w:t>6.1.质保期：供应商提供不少于3年的原厂免费整机质保(包括主机及其余所有附件、备品备件)。质保期自仪器验收合格签字之日起计算。质保期内合同货物的维修、零配件的更换以及由此所发生的一切费用均由卖方承担。质保期内出现故障导致仪器停用的时间，从质保期中扣除。</w:t>
            </w:r>
          </w:p>
          <w:p>
            <w:pPr>
              <w:pStyle w:val="null3"/>
            </w:pPr>
            <w:r>
              <w:rPr>
                <w:rFonts w:ascii="仿宋_GB2312" w:hAnsi="仿宋_GB2312" w:cs="仿宋_GB2312" w:eastAsia="仿宋_GB2312"/>
              </w:rPr>
              <w:t>6.2.质保期内每年2次免费全面维修保养。保修期满前 1 个月内卖方应负责一次免费全面检查，如发现潜在问题，应负责排除。</w:t>
            </w:r>
          </w:p>
          <w:p>
            <w:pPr>
              <w:pStyle w:val="null3"/>
            </w:pPr>
            <w:r>
              <w:rPr>
                <w:rFonts w:ascii="仿宋_GB2312" w:hAnsi="仿宋_GB2312" w:cs="仿宋_GB2312" w:eastAsia="仿宋_GB2312"/>
              </w:rPr>
              <w:t>二、配置要求</w:t>
            </w:r>
          </w:p>
          <w:p>
            <w:pPr>
              <w:pStyle w:val="null3"/>
            </w:pPr>
            <w:r>
              <w:rPr>
                <w:rFonts w:ascii="仿宋_GB2312" w:hAnsi="仿宋_GB2312" w:cs="仿宋_GB2312" w:eastAsia="仿宋_GB2312"/>
              </w:rPr>
              <w:t>电子背散射衍射仪主机，高速CMOS相机、适合指定电镜接口、数据采集软件、数据后处理软件、电脑处理器、显示器等</w:t>
            </w:r>
          </w:p>
          <w:p>
            <w:pPr>
              <w:pStyle w:val="null3"/>
            </w:pPr>
            <w:r>
              <w:rPr>
                <w:rFonts w:ascii="仿宋_GB2312" w:hAnsi="仿宋_GB2312" w:cs="仿宋_GB2312" w:eastAsia="仿宋_GB2312"/>
                <w:b/>
              </w:rPr>
              <w:t>备注：所有技术参数必须满足，不满足视为负偏离，按无效响应处理。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线下递交文件地点：西安市高新区唐延路旺座现代城C座2502室；若选择邮寄，请邮寄至2502室。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2024年5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投标人须提供2024年5月至今已缴纳的至少一个月纳税证明或完税证明，依法免税的单位应提供相关证明材料。（以税款所属期限为准）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投标人应出具参加本次政府采购活动前3年内在经营活动中没有重大违法违纪，以及未被列入失信被执行人、重大税收违法案件当事人名单、政府采购严重违法失信行为记录名单的书面声明。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本项目不接受联合体谈判，供应商应提供非联合体声明函（格式自拟）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分项报价清单.docx 供应商谈判一览表.docx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分项报价清单.docx 供应商谈判一览表.docx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供应商谈判一览表.docx 报价表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供应商谈判一览表.docx 报价表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分项报价清单.docx 中小企业声明函 报价表 商务应答表.docx 响应文件封面 技术参数证明材料.docx 残疾人福利性单位声明函 供应商谈判一览表.docx 标的清单 供应商资格证明文件.docx 产品技术参数表.docx 响应函 陕西省政府采购供应商拒绝政府采购领域商业贿赂承诺书.docx 谈判保证金.docx 监狱企业的证明文件 产品使用寿命承诺函.docx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陕西省政府采购供应商拒绝政府采购领域商业贿赂承诺书.docx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详见附件：供应商谈判一览表.docx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