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版本号：SZT2025-SN-SC-ZC-FW-0434.20250530001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2025年度教职工健康体检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SZT2025-SN-SC-ZC-FW-0434.</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2025年度教职工健康体检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SZT2025-SN-SC-ZC-FW-0434.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2025年度教职工健康体检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陕西职业技术学院2025年度教职工健康体检项目，1项，具体详见第三章 招标项目技术、服务、商务及其他要求。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1、法定代表人授权书：法定代表人授权书及被授权人身份证。（法定代表人直接磋商只须提供其身份证明），事业单位法人参照执行。</w:t>
      </w:r>
    </w:p>
    <w:p>
      <w:pPr>
        <w:pStyle w:val="null3"/>
      </w:pPr>
      <w:r>
        <w:rPr>
          <w:rFonts w:ascii="仿宋_GB2312" w:hAnsi="仿宋_GB2312" w:cs="仿宋_GB2312" w:eastAsia="仿宋_GB2312"/>
        </w:rPr>
        <w:t>2、《医疗机构执业许可证》：具有有效的《医疗机构执业许可证》</w:t>
      </w:r>
    </w:p>
    <w:p>
      <w:pPr>
        <w:pStyle w:val="null3"/>
      </w:pPr>
      <w:r>
        <w:rPr>
          <w:rFonts w:ascii="仿宋_GB2312" w:hAnsi="仿宋_GB2312" w:cs="仿宋_GB2312" w:eastAsia="仿宋_GB2312"/>
        </w:rPr>
        <w:t>3、《放射诊疗许可证》：具有有效的《放射诊疗许可证》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029--83618177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西安市高新四路1号高科广场A1001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肖懿、陈先德、李娜、单博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说明：乙方与甲方签订合同前须按预算金额的5%作为履约保证金缴纳至甲方账户，在履约期满后，经甲方确认乙方履行了合同约定的义务，无违约情形，一次性予以无息退还。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供应商应依据预算金额向采购代理机构交纳成交服务费，交费金额参照国家计委颁布的《招标代理服务收费管理暂行办法》（计价格[2002]1980号）及发改办价格[2003]857号文件的规定标准计算 *0.77收取。 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陕西职业技术学院2025年度教职工健康体检项目，1项，具体详见第三章 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597,700.00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2025年度教职工健康体检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标的名称：2025年度教职工健康体检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rPr>
              <w:t>采购包</w:t>
            </w:r>
            <w:r>
              <w:rPr>
                <w:rFonts w:ascii="仿宋_GB2312" w:hAnsi="仿宋_GB2312" w:cs="仿宋_GB2312" w:eastAsia="仿宋_GB2312"/>
                <w:sz w:val="28"/>
              </w:rPr>
              <w:t>1：</w:t>
            </w:r>
          </w:p>
          <w:p>
            <w:pPr>
              <w:pStyle w:val="null3"/>
            </w:pPr>
            <w:r>
              <w:rPr>
                <w:rFonts w:ascii="仿宋_GB2312" w:hAnsi="仿宋_GB2312" w:cs="仿宋_GB2312" w:eastAsia="仿宋_GB2312"/>
                <w:sz w:val="28"/>
              </w:rPr>
              <w:t>供应商报价不允许超过标的金额</w:t>
            </w:r>
          </w:p>
          <w:p>
            <w:pPr>
              <w:pStyle w:val="null3"/>
            </w:pPr>
            <w:r>
              <w:rPr>
                <w:rFonts w:ascii="仿宋_GB2312" w:hAnsi="仿宋_GB2312" w:cs="仿宋_GB2312" w:eastAsia="仿宋_GB2312"/>
                <w:sz w:val="28"/>
              </w:rPr>
              <w:t>（招单价的）供应商报价不允许超过标的单价</w:t>
            </w:r>
          </w:p>
          <w:p>
            <w:pPr>
              <w:pStyle w:val="null3"/>
            </w:pPr>
            <w:r>
              <w:rPr>
                <w:rFonts w:ascii="仿宋_GB2312" w:hAnsi="仿宋_GB2312" w:cs="仿宋_GB2312" w:eastAsia="仿宋_GB2312"/>
                <w:sz w:val="28"/>
              </w:rPr>
              <w:t>标的名称：</w:t>
            </w:r>
            <w:r>
              <w:rPr>
                <w:rFonts w:ascii="仿宋_GB2312" w:hAnsi="仿宋_GB2312" w:cs="仿宋_GB2312" w:eastAsia="仿宋_GB2312"/>
                <w:sz w:val="28"/>
              </w:rPr>
              <w:t>陕西职业技术学院</w:t>
            </w:r>
            <w:r>
              <w:rPr>
                <w:rFonts w:ascii="仿宋_GB2312" w:hAnsi="仿宋_GB2312" w:cs="仿宋_GB2312" w:eastAsia="仿宋_GB2312"/>
                <w:sz w:val="28"/>
              </w:rPr>
              <w:t>2025年度教职工健康体检项目</w:t>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2025</w:t>
                  </w:r>
                  <w:r>
                    <w:rPr>
                      <w:rFonts w:ascii="仿宋_GB2312" w:hAnsi="仿宋_GB2312" w:cs="仿宋_GB2312" w:eastAsia="仿宋_GB2312"/>
                      <w:sz w:val="24"/>
                    </w:rPr>
                    <w:t>年度教职工健康体检采购需求</w:t>
                  </w:r>
                </w:p>
                <w:p>
                  <w:pPr>
                    <w:pStyle w:val="null3"/>
                    <w:ind w:firstLine="480"/>
                    <w:jc w:val="both"/>
                  </w:pPr>
                  <w:r>
                    <w:rPr>
                      <w:rFonts w:ascii="仿宋_GB2312" w:hAnsi="仿宋_GB2312" w:cs="仿宋_GB2312" w:eastAsia="仿宋_GB2312"/>
                      <w:sz w:val="24"/>
                    </w:rPr>
                    <w:t>一、体检时间、地点及形式</w:t>
                  </w:r>
                </w:p>
                <w:p>
                  <w:pPr>
                    <w:pStyle w:val="null3"/>
                    <w:ind w:firstLine="480"/>
                    <w:jc w:val="both"/>
                  </w:pPr>
                  <w:r>
                    <w:rPr>
                      <w:rFonts w:ascii="仿宋_GB2312" w:hAnsi="仿宋_GB2312" w:cs="仿宋_GB2312" w:eastAsia="仿宋_GB2312"/>
                      <w:sz w:val="24"/>
                    </w:rPr>
                    <w:t>（一）体检时间：</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月上旬</w:t>
                  </w:r>
                  <w:r>
                    <w:rPr>
                      <w:rFonts w:ascii="仿宋_GB2312" w:hAnsi="仿宋_GB2312" w:cs="仿宋_GB2312" w:eastAsia="仿宋_GB2312"/>
                      <w:sz w:val="24"/>
                    </w:rPr>
                    <w:t>-7</w:t>
                  </w:r>
                  <w:r>
                    <w:rPr>
                      <w:rFonts w:ascii="仿宋_GB2312" w:hAnsi="仿宋_GB2312" w:cs="仿宋_GB2312" w:eastAsia="仿宋_GB2312"/>
                      <w:sz w:val="24"/>
                    </w:rPr>
                    <w:t>月上旬（暂定）。</w:t>
                  </w:r>
                </w:p>
                <w:p>
                  <w:pPr>
                    <w:pStyle w:val="null3"/>
                    <w:ind w:firstLine="480"/>
                    <w:jc w:val="both"/>
                  </w:pPr>
                  <w:r>
                    <w:rPr>
                      <w:rFonts w:ascii="仿宋_GB2312" w:hAnsi="仿宋_GB2312" w:cs="仿宋_GB2312" w:eastAsia="仿宋_GB2312"/>
                      <w:sz w:val="24"/>
                    </w:rPr>
                    <w:t>（二）地点：中标机构所在地（西安市区内）。</w:t>
                  </w:r>
                </w:p>
                <w:p>
                  <w:pPr>
                    <w:pStyle w:val="null3"/>
                    <w:ind w:firstLine="480"/>
                    <w:jc w:val="both"/>
                  </w:pPr>
                  <w:r>
                    <w:rPr>
                      <w:rFonts w:ascii="仿宋_GB2312" w:hAnsi="仿宋_GB2312" w:cs="仿宋_GB2312" w:eastAsia="仿宋_GB2312"/>
                      <w:sz w:val="24"/>
                    </w:rPr>
                    <w:t>（三）形式：集中</w:t>
                  </w:r>
                  <w:r>
                    <w:rPr>
                      <w:rFonts w:ascii="仿宋_GB2312" w:hAnsi="仿宋_GB2312" w:cs="仿宋_GB2312" w:eastAsia="仿宋_GB2312"/>
                      <w:sz w:val="24"/>
                    </w:rPr>
                    <w:t>+</w:t>
                  </w:r>
                  <w:r>
                    <w:rPr>
                      <w:rFonts w:ascii="仿宋_GB2312" w:hAnsi="仿宋_GB2312" w:cs="仿宋_GB2312" w:eastAsia="仿宋_GB2312"/>
                      <w:sz w:val="24"/>
                    </w:rPr>
                    <w:t>个人自行体检。集中组织四次体检，其余时间教职工可自行安排体检。</w:t>
                  </w:r>
                </w:p>
                <w:p>
                  <w:pPr>
                    <w:pStyle w:val="null3"/>
                    <w:ind w:firstLine="480"/>
                    <w:jc w:val="both"/>
                  </w:pPr>
                  <w:r>
                    <w:rPr>
                      <w:rFonts w:ascii="仿宋_GB2312" w:hAnsi="仿宋_GB2312" w:cs="仿宋_GB2312" w:eastAsia="仿宋_GB2312"/>
                      <w:sz w:val="24"/>
                    </w:rPr>
                    <w:t>二、体检对象、人员分类及体检项目</w:t>
                  </w:r>
                </w:p>
                <w:p>
                  <w:pPr>
                    <w:pStyle w:val="null3"/>
                    <w:ind w:firstLine="480"/>
                    <w:jc w:val="both"/>
                  </w:pPr>
                  <w:r>
                    <w:rPr>
                      <w:rFonts w:ascii="仿宋_GB2312" w:hAnsi="仿宋_GB2312" w:cs="仿宋_GB2312" w:eastAsia="仿宋_GB2312"/>
                      <w:sz w:val="24"/>
                    </w:rPr>
                    <w:t>（一）体检对象</w:t>
                  </w:r>
                </w:p>
                <w:p>
                  <w:pPr>
                    <w:pStyle w:val="null3"/>
                    <w:ind w:firstLine="480"/>
                    <w:jc w:val="both"/>
                  </w:pPr>
                  <w:r>
                    <w:rPr>
                      <w:rFonts w:ascii="仿宋_GB2312" w:hAnsi="仿宋_GB2312" w:cs="仿宋_GB2312" w:eastAsia="仿宋_GB2312"/>
                      <w:sz w:val="24"/>
                    </w:rPr>
                    <w:t>学校正式教职工（含离退休人员、人事代理人员和安保、公寓管理等合同管理人员），共</w:t>
                  </w:r>
                  <w:r>
                    <w:rPr>
                      <w:rFonts w:ascii="仿宋_GB2312" w:hAnsi="仿宋_GB2312" w:cs="仿宋_GB2312" w:eastAsia="仿宋_GB2312"/>
                      <w:sz w:val="24"/>
                    </w:rPr>
                    <w:t>919</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（二）人员分类</w:t>
                  </w:r>
                </w:p>
                <w:p>
                  <w:pPr>
                    <w:pStyle w:val="null3"/>
                    <w:ind w:firstLine="480"/>
                    <w:jc w:val="both"/>
                  </w:pPr>
                  <w:r>
                    <w:rPr>
                      <w:rFonts w:ascii="仿宋_GB2312" w:hAnsi="仿宋_GB2312" w:cs="仿宋_GB2312" w:eastAsia="仿宋_GB2312"/>
                      <w:sz w:val="24"/>
                    </w:rPr>
                    <w:t>本着尊重知识、尊重人才、关爱退休同志的原则，教职工体检分为三类：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离退休人员，</w:t>
                  </w:r>
                  <w:r>
                    <w:rPr>
                      <w:rFonts w:ascii="仿宋_GB2312" w:hAnsi="仿宋_GB2312" w:cs="仿宋_GB2312" w:eastAsia="仿宋_GB2312"/>
                      <w:sz w:val="24"/>
                    </w:rPr>
                    <w:t>172</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高层次引进人才、省级教学名师、正高职称、省级以上荣誉称号等共计</w:t>
                  </w:r>
                  <w:r>
                    <w:rPr>
                      <w:rFonts w:ascii="仿宋_GB2312" w:hAnsi="仿宋_GB2312" w:cs="仿宋_GB2312" w:eastAsia="仿宋_GB2312"/>
                      <w:sz w:val="24"/>
                    </w:rPr>
                    <w:t>50</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其他在职人员，</w:t>
                  </w:r>
                  <w:r>
                    <w:rPr>
                      <w:rFonts w:ascii="仿宋_GB2312" w:hAnsi="仿宋_GB2312" w:cs="仿宋_GB2312" w:eastAsia="仿宋_GB2312"/>
                      <w:sz w:val="24"/>
                    </w:rPr>
                    <w:t>697</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（三）体检项目</w:t>
                  </w:r>
                </w:p>
                <w:p>
                  <w:pPr>
                    <w:pStyle w:val="null3"/>
                    <w:ind w:firstLine="480"/>
                    <w:jc w:val="both"/>
                  </w:pPr>
                  <w:r>
                    <w:rPr>
                      <w:rFonts w:ascii="仿宋_GB2312" w:hAnsi="仿宋_GB2312" w:cs="仿宋_GB2312" w:eastAsia="仿宋_GB2312"/>
                      <w:sz w:val="24"/>
                    </w:rPr>
                    <w:t>根据陕西省卫健委、陕西省教育厅相关文件（相关传染病项目必查）要求、教师职业特点、教职工意见、专家建议及去年体检结果确定的今年体检项目为：必检项目</w:t>
                  </w:r>
                  <w:r>
                    <w:rPr>
                      <w:rFonts w:ascii="仿宋_GB2312" w:hAnsi="仿宋_GB2312" w:cs="仿宋_GB2312" w:eastAsia="仿宋_GB2312"/>
                      <w:sz w:val="24"/>
                    </w:rPr>
                    <w:t>+</w:t>
                  </w:r>
                  <w:r>
                    <w:rPr>
                      <w:rFonts w:ascii="仿宋_GB2312" w:hAnsi="仿宋_GB2312" w:cs="仿宋_GB2312" w:eastAsia="仿宋_GB2312"/>
                      <w:sz w:val="24"/>
                    </w:rPr>
                    <w:t>其他项目套餐。</w:t>
                  </w:r>
                </w:p>
                <w:p>
                  <w:pPr>
                    <w:pStyle w:val="null3"/>
                    <w:numPr>
                      <w:ilvl w:val="0"/>
                      <w:numId w:val="1"/>
                    </w:numPr>
                    <w:jc w:val="both"/>
                  </w:pPr>
                  <w:r>
                    <w:rPr>
                      <w:rFonts w:ascii="仿宋_GB2312" w:hAnsi="仿宋_GB2312" w:cs="仿宋_GB2312" w:eastAsia="仿宋_GB2312"/>
                      <w:sz w:val="24"/>
                    </w:rPr>
                    <w:t>必检项目：包含一般检查、血常规、尿常规、肝功能、肾功能、血糖、血脂、心电图、胸部</w:t>
                  </w:r>
                  <w:r>
                    <w:rPr>
                      <w:rFonts w:ascii="仿宋_GB2312" w:hAnsi="仿宋_GB2312" w:cs="仿宋_GB2312" w:eastAsia="仿宋_GB2312"/>
                      <w:sz w:val="24"/>
                    </w:rPr>
                    <w:t>DR</w:t>
                  </w:r>
                  <w:r>
                    <w:rPr>
                      <w:rFonts w:ascii="仿宋_GB2312" w:hAnsi="仿宋_GB2312" w:cs="仿宋_GB2312" w:eastAsia="仿宋_GB2312"/>
                      <w:sz w:val="24"/>
                    </w:rPr>
                    <w:t>、腹部彩超、甲状腺彩超等。详见附件</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2025</w:t>
                  </w:r>
                  <w:r>
                    <w:rPr>
                      <w:rFonts w:ascii="仿宋_GB2312" w:hAnsi="仿宋_GB2312" w:cs="仿宋_GB2312" w:eastAsia="仿宋_GB2312"/>
                      <w:sz w:val="24"/>
                    </w:rPr>
                    <w:t>年度教职工体检必检项目》</w:t>
                  </w:r>
                </w:p>
                <w:tbl>
                  <w:tblPr>
                    <w:tblBorders>
                      <w:top w:val="none" w:color="000000" w:sz="4"/>
                      <w:left w:val="none" w:color="000000" w:sz="4"/>
                      <w:bottom w:val="none" w:color="000000" w:sz="4"/>
                      <w:right w:val="none" w:color="000000" w:sz="4"/>
                      <w:insideH w:val="none"/>
                      <w:insideV w:val="none"/>
                    </w:tblBorders>
                  </w:tblPr>
                  <w:tblGrid>
                    <w:gridCol w:w="0"/>
                    <w:gridCol w:w="65"/>
                    <w:gridCol w:w="65"/>
                    <w:gridCol w:w="65"/>
                    <w:gridCol w:w="65"/>
                    <w:gridCol w:w="65"/>
                    <w:gridCol w:w="65"/>
                    <w:gridCol w:w="65"/>
                    <w:gridCol w:w="65"/>
                    <w:gridCol w:w="65"/>
                    <w:gridCol w:w="65"/>
                    <w:gridCol w:w="65"/>
                    <w:gridCol w:w="65"/>
                    <w:gridCol w:w="65"/>
                    <w:gridCol w:w="65"/>
                    <w:gridCol w:w="65"/>
                    <w:gridCol w:w="65"/>
                    <w:gridCol w:w="65"/>
                    <w:gridCol w:w="65"/>
                    <w:gridCol w:w="65"/>
                    <w:gridCol w:w="65"/>
                    <w:gridCol w:w="65"/>
                    <w:gridCol w:w="0"/>
                  </w:tblGrid>
                  <w:tr>
                    <w:tc>
                      <w:tcPr>
                        <w:tcW w:type="dxa" w:w="0"/>
                      </w:tcPr>
                      <w:p>
                        <w:pPr>
                          <w:pStyle w:val="null3"/>
                        </w:pPr>
                        <w:r>
                          <w:rPr>
                            <w:rFonts w:ascii="仿宋_GB2312" w:hAnsi="仿宋_GB2312" w:cs="仿宋_GB2312" w:eastAsia="仿宋_GB2312"/>
                            <w:sz w:val="19"/>
                          </w:rPr>
                          <w:t xml:space="preserve"> </w:t>
                        </w:r>
                      </w:p>
                    </w:tc>
                    <w:tc>
                      <w:tcPr>
                        <w:tcW w:type="dxa" w:w="1365"/>
                        <w:gridSpan w:val="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附件</w:t>
                        </w:r>
                        <w:r>
                          <w:rPr>
                            <w:rFonts w:ascii="仿宋_GB2312" w:hAnsi="仿宋_GB2312" w:cs="仿宋_GB2312" w:eastAsia="仿宋_GB2312"/>
                            <w:sz w:val="28"/>
                            <w:color w:val="000000"/>
                          </w:rPr>
                          <w:t>1：2025年度教职工体检必检项目</w:t>
                        </w:r>
                      </w:p>
                    </w:tc>
                  </w:tr>
                  <w:tr>
                    <w:tc>
                      <w:tcPr>
                        <w:tcW w:type="dxa" w:w="65"/>
                        <w:gridSpan w:val="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0"/>
                        <w:gridSpan w:val="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检查类型</w:t>
                        </w:r>
                      </w:p>
                    </w:tc>
                    <w:tc>
                      <w:tcPr>
                        <w:tcW w:type="dxa" w:w="130"/>
                        <w:gridSpan w:val="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检查项目</w:t>
                        </w:r>
                      </w:p>
                    </w:tc>
                    <w:tc>
                      <w:tcPr>
                        <w:tcW w:type="dxa" w:w="260"/>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离退休人员等</w:t>
                        </w:r>
                      </w:p>
                    </w:tc>
                    <w:tc>
                      <w:tcPr>
                        <w:tcW w:type="dxa" w:w="260"/>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高层次引进人才、三级教授、省级教学名师、正高职称等；</w:t>
                        </w:r>
                      </w:p>
                    </w:tc>
                    <w:tc>
                      <w:tcPr>
                        <w:tcW w:type="dxa" w:w="520"/>
                        <w:gridSpan w:val="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其他在职人员</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vMerge/>
                        <w:tcBorders>
                          <w:top w:val="single" w:color="000000" w:sz="4"/>
                          <w:left w:val="single" w:color="000000" w:sz="4"/>
                          <w:bottom w:val="single" w:color="000000" w:sz="4"/>
                          <w:right w:val="single" w:color="000000" w:sz="4"/>
                        </w:tcBorders>
                      </w:tcPr>
                      <w:p/>
                    </w:tc>
                    <w:tc>
                      <w:tcPr>
                        <w:tcW w:type="dxa" w:w="130"/>
                        <w:gridSpan w:val="2"/>
                        <w:vMerge/>
                        <w:tcBorders>
                          <w:top w:val="single" w:color="000000" w:sz="4"/>
                          <w:left w:val="none" w:color="000000" w:sz="4"/>
                          <w:bottom w:val="single" w:color="000000" w:sz="4"/>
                          <w:right w:val="single" w:color="000000" w:sz="4"/>
                        </w:tcBorders>
                      </w:tcPr>
                      <w:p/>
                    </w:tc>
                    <w:tc>
                      <w:tcPr>
                        <w:tcW w:type="dxa" w:w="130"/>
                        <w:gridSpan w:val="2"/>
                        <w:vMerge/>
                        <w:tcBorders>
                          <w:top w:val="single" w:color="000000" w:sz="4"/>
                          <w:left w:val="none" w:color="000000" w:sz="4"/>
                          <w:bottom w:val="single" w:color="000000" w:sz="4"/>
                          <w:right w:val="single" w:color="000000" w:sz="4"/>
                        </w:tcBorders>
                      </w:tcPr>
                      <w:p/>
                    </w:tc>
                    <w:tc>
                      <w:tcPr>
                        <w:tcW w:type="dxa" w:w="130"/>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w:t>
                        </w:r>
                      </w:p>
                    </w:tc>
                    <w:tc>
                      <w:tcPr>
                        <w:tcW w:type="dxa" w:w="130"/>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w:t>
                        </w:r>
                      </w:p>
                    </w:tc>
                    <w:tc>
                      <w:tcPr>
                        <w:tcW w:type="dxa" w:w="130"/>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w:t>
                        </w:r>
                      </w:p>
                    </w:tc>
                    <w:tc>
                      <w:tcPr>
                        <w:tcW w:type="dxa" w:w="130"/>
                        <w:gridSpan w:val="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w:t>
                        </w:r>
                      </w:p>
                    </w:tc>
                    <w:tc>
                      <w:tcPr>
                        <w:tcW w:type="dxa" w:w="13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w:t>
                        </w:r>
                      </w:p>
                    </w:tc>
                    <w:tc>
                      <w:tcPr>
                        <w:tcW w:type="dxa" w:w="13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w:t>
                        </w:r>
                      </w:p>
                    </w:tc>
                    <w:tc>
                      <w:tcPr>
                        <w:tcW w:type="dxa" w:w="13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w:t>
                        </w:r>
                      </w:p>
                    </w:tc>
                    <w:tc>
                      <w:tcPr>
                        <w:tcW w:type="dxa" w:w="13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vMerge/>
                        <w:tcBorders>
                          <w:top w:val="single" w:color="000000" w:sz="4"/>
                          <w:left w:val="single" w:color="000000" w:sz="4"/>
                          <w:bottom w:val="single" w:color="000000" w:sz="4"/>
                          <w:right w:val="single" w:color="000000" w:sz="4"/>
                        </w:tcBorders>
                      </w:tcPr>
                      <w:p/>
                    </w:tc>
                    <w:tc>
                      <w:tcPr>
                        <w:tcW w:type="dxa" w:w="130"/>
                        <w:gridSpan w:val="2"/>
                        <w:vMerge/>
                        <w:tcBorders>
                          <w:top w:val="single" w:color="000000" w:sz="4"/>
                          <w:left w:val="none" w:color="000000" w:sz="4"/>
                          <w:bottom w:val="single" w:color="000000" w:sz="4"/>
                          <w:right w:val="single" w:color="000000" w:sz="4"/>
                        </w:tcBorders>
                      </w:tcPr>
                      <w:p/>
                    </w:tc>
                    <w:tc>
                      <w:tcPr>
                        <w:tcW w:type="dxa" w:w="130"/>
                        <w:gridSpan w:val="2"/>
                        <w:vMerge/>
                        <w:tcBorders>
                          <w:top w:val="single" w:color="000000" w:sz="4"/>
                          <w:left w:val="none" w:color="000000" w:sz="4"/>
                          <w:bottom w:val="single" w:color="000000" w:sz="4"/>
                          <w:right w:val="single" w:color="000000" w:sz="4"/>
                        </w:tcBorders>
                      </w:tcP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vMerge/>
                        <w:tcBorders>
                          <w:top w:val="single" w:color="000000" w:sz="4"/>
                          <w:left w:val="none" w:color="000000" w:sz="4"/>
                          <w:bottom w:val="single" w:color="000000" w:sz="4"/>
                          <w:right w:val="single" w:color="000000" w:sz="4"/>
                        </w:tcBorders>
                      </w:tcPr>
                      <w:p/>
                    </w:tc>
                    <w:tc>
                      <w:tcPr>
                        <w:tcW w:type="dxa" w:w="260"/>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40岁</w:t>
                        </w:r>
                      </w:p>
                    </w:tc>
                    <w:tc>
                      <w:tcPr>
                        <w:tcW w:type="dxa" w:w="260"/>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≥40岁</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一般检查</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身高、体重、血压</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内科</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心脏、肺脏听诊、腹部检查</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外科</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淋巴结有无肿大、甲状腺、乳腺、前列腺、肛肠有无异常、四肢</w:t>
                        </w:r>
                        <w:r>
                          <w:rPr>
                            <w:rFonts w:ascii="仿宋_GB2312" w:hAnsi="仿宋_GB2312" w:cs="仿宋_GB2312" w:eastAsia="仿宋_GB2312"/>
                            <w:sz w:val="24"/>
                            <w:color w:val="000000"/>
                          </w:rPr>
                          <w:t>(脊柱)有无畸形</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心电图</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心电图</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眼科</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视力</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眼底</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裂隙灯检查</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3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血液检查</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血细胞分析</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血脂</w:t>
                        </w:r>
                        <w:r>
                          <w:rPr>
                            <w:rFonts w:ascii="仿宋_GB2312" w:hAnsi="仿宋_GB2312" w:cs="仿宋_GB2312" w:eastAsia="仿宋_GB2312"/>
                            <w:sz w:val="24"/>
                            <w:color w:val="000000"/>
                          </w:rPr>
                          <w:t>4项</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空腹血糖</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肝功能</w:t>
                        </w:r>
                        <w:r>
                          <w:rPr>
                            <w:rFonts w:ascii="仿宋_GB2312" w:hAnsi="仿宋_GB2312" w:cs="仿宋_GB2312" w:eastAsia="仿宋_GB2312"/>
                            <w:sz w:val="24"/>
                            <w:color w:val="000000"/>
                          </w:rPr>
                          <w:t>6项</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肾功能</w:t>
                        </w:r>
                        <w:r>
                          <w:rPr>
                            <w:rFonts w:ascii="仿宋_GB2312" w:hAnsi="仿宋_GB2312" w:cs="仿宋_GB2312" w:eastAsia="仿宋_GB2312"/>
                            <w:sz w:val="24"/>
                            <w:color w:val="000000"/>
                          </w:rPr>
                          <w:t>5项</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甲胎蛋白（</w:t>
                        </w:r>
                        <w:r>
                          <w:rPr>
                            <w:rFonts w:ascii="仿宋_GB2312" w:hAnsi="仿宋_GB2312" w:cs="仿宋_GB2312" w:eastAsia="仿宋_GB2312"/>
                            <w:sz w:val="24"/>
                            <w:color w:val="000000"/>
                          </w:rPr>
                          <w:t xml:space="preserve">AFP定性）                                     </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癌胚抗原（</w:t>
                        </w:r>
                        <w:r>
                          <w:rPr>
                            <w:rFonts w:ascii="仿宋_GB2312" w:hAnsi="仿宋_GB2312" w:cs="仿宋_GB2312" w:eastAsia="仿宋_GB2312"/>
                            <w:sz w:val="24"/>
                            <w:color w:val="000000"/>
                          </w:rPr>
                          <w:t xml:space="preserve">CEA定性）                                   </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糖类抗原</w:t>
                        </w:r>
                        <w:r>
                          <w:rPr>
                            <w:rFonts w:ascii="仿宋_GB2312" w:hAnsi="仿宋_GB2312" w:cs="仿宋_GB2312" w:eastAsia="仿宋_GB2312"/>
                            <w:sz w:val="24"/>
                            <w:color w:val="000000"/>
                          </w:rPr>
                          <w:t>19-9（CA19-9）</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尿常规</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尿液分析</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3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彩色超声</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甲状腺彩超</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颈动脉彩超（双侧）</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双乳腺彩超</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上腹部彩超（肝、胆、脾、胰）</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泌尿系彩超（双肾、输尿管、膀胱、前列腺）</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双肾</w:t>
                        </w:r>
                        <w:r>
                          <w:rPr>
                            <w:rFonts w:ascii="仿宋_GB2312" w:hAnsi="仿宋_GB2312" w:cs="仿宋_GB2312" w:eastAsia="仿宋_GB2312"/>
                            <w:sz w:val="24"/>
                            <w:color w:val="000000"/>
                          </w:rPr>
                          <w:t>+妇科彩超（子宫、附件、膀胱及周围组织）</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30"/>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妇科检查</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妇科检查</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白带常规</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宫颈刮片检查</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30"/>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其他检查</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颈椎侧位片（</w:t>
                        </w:r>
                        <w:r>
                          <w:rPr>
                            <w:rFonts w:ascii="仿宋_GB2312" w:hAnsi="仿宋_GB2312" w:cs="仿宋_GB2312" w:eastAsia="仿宋_GB2312"/>
                            <w:sz w:val="24"/>
                            <w:color w:val="000000"/>
                          </w:rPr>
                          <w:t>DR）（含胶片）</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胸部正位片（</w:t>
                        </w:r>
                        <w:r>
                          <w:rPr>
                            <w:rFonts w:ascii="仿宋_GB2312" w:hAnsi="仿宋_GB2312" w:cs="仿宋_GB2312" w:eastAsia="仿宋_GB2312"/>
                            <w:sz w:val="24"/>
                            <w:color w:val="000000"/>
                          </w:rPr>
                          <w:t>DR）（含胶片）</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骨密度检测</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30"/>
                        <w:gridSpan w:val="2"/>
                        <w:vMerge/>
                        <w:tcBorders>
                          <w:top w:val="none" w:color="000000" w:sz="4"/>
                          <w:left w:val="none" w:color="000000" w:sz="4"/>
                          <w:bottom w:val="single" w:color="000000" w:sz="4"/>
                          <w:right w:val="single" w:color="000000" w:sz="4"/>
                        </w:tcBorders>
                      </w:tcP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胸部</w:t>
                        </w:r>
                        <w:r>
                          <w:rPr>
                            <w:rFonts w:ascii="仿宋_GB2312" w:hAnsi="仿宋_GB2312" w:cs="仿宋_GB2312" w:eastAsia="仿宋_GB2312"/>
                            <w:sz w:val="24"/>
                            <w:color w:val="000000"/>
                          </w:rPr>
                          <w:t>CT（含胶片）</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其他项</w:t>
                  </w:r>
                  <w:r>
                    <w:rPr>
                      <w:rFonts w:ascii="仿宋_GB2312" w:hAnsi="仿宋_GB2312" w:cs="仿宋_GB2312" w:eastAsia="仿宋_GB2312"/>
                      <w:sz w:val="24"/>
                    </w:rPr>
                    <w:t>目套餐：由体检机构根据三类体检人群的固定单价减去必检项目价格后的剩余费用提供其他体检项目套餐，分类为消化系统套餐、心脑血管系统套餐、女性妇科套餐、内分泌系统套餐、呼吸系统套餐等。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个人自选项目：教职工可根据个人需求，选择除必检项目</w:t>
                  </w:r>
                  <w:r>
                    <w:rPr>
                      <w:rFonts w:ascii="仿宋_GB2312" w:hAnsi="仿宋_GB2312" w:cs="仿宋_GB2312" w:eastAsia="仿宋_GB2312"/>
                      <w:sz w:val="24"/>
                    </w:rPr>
                    <w:t>+</w:t>
                  </w:r>
                  <w:r>
                    <w:rPr>
                      <w:rFonts w:ascii="仿宋_GB2312" w:hAnsi="仿宋_GB2312" w:cs="仿宋_GB2312" w:eastAsia="仿宋_GB2312"/>
                      <w:sz w:val="24"/>
                    </w:rPr>
                    <w:t>其他项目套餐以外的项目，费用自理。</w:t>
                  </w:r>
                </w:p>
                <w:p>
                  <w:pPr>
                    <w:pStyle w:val="null3"/>
                    <w:ind w:firstLine="480"/>
                    <w:jc w:val="both"/>
                  </w:pPr>
                  <w:r>
                    <w:rPr>
                      <w:rFonts w:ascii="仿宋_GB2312" w:hAnsi="仿宋_GB2312" w:cs="仿宋_GB2312" w:eastAsia="仿宋_GB2312"/>
                      <w:sz w:val="24"/>
                    </w:rPr>
                    <w:t>说明：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各应标机构应根据必检项目给出明确折扣后价格。</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教职工在规定项目外的检查项目，需提供明确折扣后价格的项目目录，费用自理。</w:t>
                  </w:r>
                </w:p>
                <w:p>
                  <w:pPr>
                    <w:pStyle w:val="null3"/>
                    <w:ind w:firstLine="480"/>
                    <w:jc w:val="both"/>
                  </w:pPr>
                  <w:r>
                    <w:rPr>
                      <w:rFonts w:ascii="仿宋_GB2312" w:hAnsi="仿宋_GB2312" w:cs="仿宋_GB2312" w:eastAsia="仿宋_GB2312"/>
                      <w:sz w:val="24"/>
                    </w:rPr>
                    <w:t>三、体检费用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本次体</w:t>
                  </w:r>
                  <w:r>
                    <w:rPr>
                      <w:rFonts w:ascii="仿宋_GB2312" w:hAnsi="仿宋_GB2312" w:cs="仿宋_GB2312" w:eastAsia="仿宋_GB2312"/>
                      <w:sz w:val="24"/>
                    </w:rPr>
                    <w:t>检总预算共</w:t>
                  </w:r>
                  <w:r>
                    <w:rPr>
                      <w:rFonts w:ascii="仿宋_GB2312" w:hAnsi="仿宋_GB2312" w:cs="仿宋_GB2312" w:eastAsia="仿宋_GB2312"/>
                      <w:sz w:val="24"/>
                    </w:rPr>
                    <w:t>60</w:t>
                  </w:r>
                  <w:r>
                    <w:rPr>
                      <w:rFonts w:ascii="仿宋_GB2312" w:hAnsi="仿宋_GB2312" w:cs="仿宋_GB2312" w:eastAsia="仿宋_GB2312"/>
                      <w:sz w:val="24"/>
                    </w:rPr>
                    <w:t>万元，最高限价为</w:t>
                  </w:r>
                  <w:r>
                    <w:rPr>
                      <w:rFonts w:ascii="仿宋_GB2312" w:hAnsi="仿宋_GB2312" w:cs="仿宋_GB2312" w:eastAsia="仿宋_GB2312"/>
                      <w:sz w:val="24"/>
                    </w:rPr>
                    <w:t>59.77</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不同人员及各年龄段固定单价</w:t>
                  </w:r>
                </w:p>
                <w:tbl>
                  <w:tblPr>
                    <w:tblInd w:type="dxa" w:w="105"/>
                    <w:tblBorders>
                      <w:top w:val="none" w:color="000000" w:sz="4"/>
                      <w:left w:val="none" w:color="000000" w:sz="4"/>
                      <w:bottom w:val="none" w:color="000000" w:sz="4"/>
                      <w:right w:val="none" w:color="000000" w:sz="4"/>
                      <w:insideH w:val="none"/>
                      <w:insideV w:val="none"/>
                    </w:tblBorders>
                  </w:tblPr>
                  <w:tblGrid>
                    <w:gridCol w:w="308"/>
                    <w:gridCol w:w="396"/>
                    <w:gridCol w:w="290"/>
                    <w:gridCol w:w="258"/>
                    <w:gridCol w:w="331"/>
                    <w:gridCol w:w="304"/>
                    <w:gridCol w:w="433"/>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总人数（人）</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人员分类</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人数（人）</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人数（人）</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年龄</w:t>
                        </w:r>
                      </w:p>
                      <w:p>
                        <w:pPr>
                          <w:pStyle w:val="null3"/>
                          <w:jc w:val="center"/>
                        </w:pPr>
                        <w:r>
                          <w:rPr>
                            <w:rFonts w:ascii="仿宋_GB2312" w:hAnsi="仿宋_GB2312" w:cs="仿宋_GB2312" w:eastAsia="仿宋_GB2312"/>
                            <w:sz w:val="24"/>
                            <w:b/>
                          </w:rPr>
                          <w:t>分布</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人数（人）</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固定</w:t>
                        </w:r>
                      </w:p>
                      <w:p>
                        <w:pPr>
                          <w:pStyle w:val="null3"/>
                          <w:jc w:val="center"/>
                        </w:pPr>
                        <w:r>
                          <w:rPr>
                            <w:rFonts w:ascii="仿宋_GB2312" w:hAnsi="仿宋_GB2312" w:cs="仿宋_GB2312" w:eastAsia="仿宋_GB2312"/>
                            <w:sz w:val="24"/>
                            <w:b/>
                          </w:rPr>
                          <w:t>单价</w:t>
                        </w:r>
                      </w:p>
                      <w:p>
                        <w:pPr>
                          <w:pStyle w:val="null3"/>
                          <w:jc w:val="center"/>
                        </w:pPr>
                        <w:r>
                          <w:rPr>
                            <w:rFonts w:ascii="仿宋_GB2312" w:hAnsi="仿宋_GB2312" w:cs="仿宋_GB2312" w:eastAsia="仿宋_GB2312"/>
                            <w:sz w:val="24"/>
                            <w:b/>
                          </w:rPr>
                          <w:t>（元）</w:t>
                        </w:r>
                      </w:p>
                    </w:tc>
                  </w:tr>
                  <w:tr>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927</w:t>
                        </w:r>
                      </w:p>
                    </w:tc>
                    <w:tc>
                      <w:tcPr>
                        <w:tcW w:type="dxa" w:w="3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离退休人员</w:t>
                        </w:r>
                      </w:p>
                    </w:tc>
                    <w:tc>
                      <w:tcPr>
                        <w:tcW w:type="dxa" w:w="2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107</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r>
                          <w:rPr>
                            <w:rFonts w:ascii="仿宋_GB2312" w:hAnsi="仿宋_GB2312" w:cs="仿宋_GB2312" w:eastAsia="仿宋_GB2312"/>
                            <w:sz w:val="24"/>
                            <w:b/>
                          </w:rPr>
                          <w:t>00</w:t>
                        </w:r>
                      </w:p>
                    </w:tc>
                  </w:tr>
                  <w:tr>
                    <w:tc>
                      <w:tcPr>
                        <w:tcW w:type="dxa" w:w="308"/>
                        <w:vMerge/>
                        <w:tcBorders>
                          <w:top w:val="none" w:color="000000" w:sz="4"/>
                          <w:left w:val="single" w:color="000000" w:sz="4"/>
                          <w:bottom w:val="single" w:color="000000" w:sz="4"/>
                          <w:right w:val="single" w:color="000000" w:sz="4"/>
                        </w:tcBorders>
                      </w:tcPr>
                      <w:p/>
                    </w:tc>
                    <w:tc>
                      <w:tcPr>
                        <w:tcW w:type="dxa" w:w="396"/>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75</w:t>
                        </w:r>
                        <w:r>
                          <w:rPr>
                            <w:rFonts w:ascii="仿宋_GB2312" w:hAnsi="仿宋_GB2312" w:cs="仿宋_GB2312" w:eastAsia="仿宋_GB2312"/>
                            <w:sz w:val="24"/>
                            <w:b/>
                          </w:rPr>
                          <w:t>0</w:t>
                        </w:r>
                      </w:p>
                    </w:tc>
                  </w:tr>
                  <w:tr>
                    <w:tc>
                      <w:tcPr>
                        <w:tcW w:type="dxa" w:w="308"/>
                        <w:vMerge/>
                        <w:tcBorders>
                          <w:top w:val="none" w:color="000000" w:sz="4"/>
                          <w:left w:val="single" w:color="000000" w:sz="4"/>
                          <w:bottom w:val="single" w:color="000000" w:sz="4"/>
                          <w:right w:val="single" w:color="000000" w:sz="4"/>
                        </w:tcBorders>
                      </w:tcPr>
                      <w:p/>
                    </w:tc>
                    <w:tc>
                      <w:tcPr>
                        <w:tcW w:type="dxa" w:w="3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高层次引进人才、三级教授、省级教学名师、正高职称</w:t>
                        </w:r>
                      </w:p>
                    </w:tc>
                    <w:tc>
                      <w:tcPr>
                        <w:tcW w:type="dxa" w:w="2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775</w:t>
                        </w:r>
                      </w:p>
                    </w:tc>
                  </w:tr>
                  <w:tr>
                    <w:tc>
                      <w:tcPr>
                        <w:tcW w:type="dxa" w:w="308"/>
                        <w:vMerge/>
                        <w:tcBorders>
                          <w:top w:val="none" w:color="000000" w:sz="4"/>
                          <w:left w:val="single" w:color="000000" w:sz="4"/>
                          <w:bottom w:val="single" w:color="000000" w:sz="4"/>
                          <w:right w:val="single" w:color="000000" w:sz="4"/>
                        </w:tcBorders>
                      </w:tcPr>
                      <w:p/>
                    </w:tc>
                    <w:tc>
                      <w:tcPr>
                        <w:tcW w:type="dxa" w:w="396"/>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825</w:t>
                        </w:r>
                      </w:p>
                    </w:tc>
                  </w:tr>
                  <w:tr>
                    <w:tc>
                      <w:tcPr>
                        <w:tcW w:type="dxa" w:w="308"/>
                        <w:vMerge/>
                        <w:tcBorders>
                          <w:top w:val="none" w:color="000000" w:sz="4"/>
                          <w:left w:val="single" w:color="000000" w:sz="4"/>
                          <w:bottom w:val="single" w:color="000000" w:sz="4"/>
                          <w:right w:val="single" w:color="000000" w:sz="4"/>
                        </w:tcBorders>
                      </w:tcPr>
                      <w:p/>
                    </w:tc>
                    <w:tc>
                      <w:tcPr>
                        <w:tcW w:type="dxa" w:w="3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其他在职人员</w:t>
                        </w:r>
                      </w:p>
                    </w:tc>
                    <w:tc>
                      <w:tcPr>
                        <w:tcW w:type="dxa" w:w="2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697</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216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650</w:t>
                        </w:r>
                      </w:p>
                    </w:tc>
                  </w:tr>
                  <w:tr>
                    <w:tc>
                      <w:tcPr>
                        <w:tcW w:type="dxa" w:w="308"/>
                        <w:vMerge/>
                        <w:tcBorders>
                          <w:top w:val="none" w:color="000000" w:sz="4"/>
                          <w:left w:val="single" w:color="000000" w:sz="4"/>
                          <w:bottom w:val="single" w:color="000000" w:sz="4"/>
                          <w:right w:val="single" w:color="000000" w:sz="4"/>
                        </w:tcBorders>
                      </w:tcPr>
                      <w:p/>
                    </w:tc>
                    <w:tc>
                      <w:tcPr>
                        <w:tcW w:type="dxa" w:w="396"/>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&lt;40岁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450</w:t>
                        </w:r>
                      </w:p>
                    </w:tc>
                  </w:tr>
                  <w:tr>
                    <w:tc>
                      <w:tcPr>
                        <w:tcW w:type="dxa" w:w="308"/>
                        <w:vMerge/>
                        <w:tcBorders>
                          <w:top w:val="none" w:color="000000" w:sz="4"/>
                          <w:left w:val="single" w:color="000000" w:sz="4"/>
                          <w:bottom w:val="single" w:color="000000" w:sz="4"/>
                          <w:right w:val="single" w:color="000000" w:sz="4"/>
                        </w:tcBorders>
                      </w:tcPr>
                      <w:p/>
                    </w:tc>
                    <w:tc>
                      <w:tcPr>
                        <w:tcW w:type="dxa" w:w="396"/>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481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750</w:t>
                        </w:r>
                      </w:p>
                    </w:tc>
                  </w:tr>
                  <w:tr>
                    <w:tc>
                      <w:tcPr>
                        <w:tcW w:type="dxa" w:w="308"/>
                        <w:vMerge/>
                        <w:tcBorders>
                          <w:top w:val="none" w:color="000000" w:sz="4"/>
                          <w:left w:val="single" w:color="000000" w:sz="4"/>
                          <w:bottom w:val="single" w:color="000000" w:sz="4"/>
                          <w:right w:val="single" w:color="000000" w:sz="4"/>
                        </w:tcBorders>
                      </w:tcPr>
                      <w:p/>
                    </w:tc>
                    <w:tc>
                      <w:tcPr>
                        <w:tcW w:type="dxa" w:w="396"/>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&lt;40岁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550</w:t>
                        </w:r>
                      </w:p>
                    </w:tc>
                  </w:tr>
                </w:tbl>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最终结算费用以实际到检人数据实计算。</w:t>
                  </w:r>
                </w:p>
                <w:p>
                  <w:pPr>
                    <w:pStyle w:val="null3"/>
                    <w:ind w:firstLine="480"/>
                    <w:jc w:val="both"/>
                  </w:pPr>
                  <w:r>
                    <w:rPr>
                      <w:rFonts w:ascii="仿宋_GB2312" w:hAnsi="仿宋_GB2312" w:cs="仿宋_GB2312" w:eastAsia="仿宋_GB2312"/>
                      <w:sz w:val="24"/>
                    </w:rPr>
                    <w:t>四、其他采购需求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乙方体检前提供体检通知单，通知单内应明确告知体检注意事项。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乙方须为甲方教职工提供免费自助营养早餐至少</w:t>
                  </w:r>
                  <w:r>
                    <w:rPr>
                      <w:rFonts w:ascii="仿宋_GB2312" w:hAnsi="仿宋_GB2312" w:cs="仿宋_GB2312" w:eastAsia="仿宋_GB2312"/>
                      <w:sz w:val="24"/>
                    </w:rPr>
                    <w:t>5</w:t>
                  </w:r>
                  <w:r>
                    <w:rPr>
                      <w:rFonts w:ascii="仿宋_GB2312" w:hAnsi="仿宋_GB2312" w:cs="仿宋_GB2312" w:eastAsia="仿宋_GB2312"/>
                      <w:sz w:val="24"/>
                    </w:rPr>
                    <w:t>种餐品：包括但不限于牛奶、豆浆、面包、鸡蛋、包子等。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至少集中组织</w:t>
                  </w:r>
                  <w:r>
                    <w:rPr>
                      <w:rFonts w:ascii="仿宋_GB2312" w:hAnsi="仿宋_GB2312" w:cs="仿宋_GB2312" w:eastAsia="仿宋_GB2312"/>
                      <w:sz w:val="24"/>
                    </w:rPr>
                    <w:t>4</w:t>
                  </w:r>
                  <w:r>
                    <w:rPr>
                      <w:rFonts w:ascii="仿宋_GB2312" w:hAnsi="仿宋_GB2312" w:cs="仿宋_GB2312" w:eastAsia="仿宋_GB2312"/>
                      <w:sz w:val="24"/>
                    </w:rPr>
                    <w:t>次（在职教职工</w:t>
                  </w:r>
                  <w:r>
                    <w:rPr>
                      <w:rFonts w:ascii="仿宋_GB2312" w:hAnsi="仿宋_GB2312" w:cs="仿宋_GB2312" w:eastAsia="仿宋_GB2312"/>
                      <w:sz w:val="24"/>
                    </w:rPr>
                    <w:t>2</w:t>
                  </w:r>
                  <w:r>
                    <w:rPr>
                      <w:rFonts w:ascii="仿宋_GB2312" w:hAnsi="仿宋_GB2312" w:cs="仿宋_GB2312" w:eastAsia="仿宋_GB2312"/>
                      <w:sz w:val="24"/>
                    </w:rPr>
                    <w:t>次，其他两类人群各</w:t>
                  </w:r>
                  <w:r>
                    <w:rPr>
                      <w:rFonts w:ascii="仿宋_GB2312" w:hAnsi="仿宋_GB2312" w:cs="仿宋_GB2312" w:eastAsia="仿宋_GB2312"/>
                      <w:sz w:val="24"/>
                    </w:rPr>
                    <w:t>1</w:t>
                  </w:r>
                  <w:r>
                    <w:rPr>
                      <w:rFonts w:ascii="仿宋_GB2312" w:hAnsi="仿宋_GB2312" w:cs="仿宋_GB2312" w:eastAsia="仿宋_GB2312"/>
                      <w:sz w:val="24"/>
                    </w:rPr>
                    <w:t>次），集中体检时，若达到</w:t>
                  </w:r>
                  <w:r>
                    <w:rPr>
                      <w:rFonts w:ascii="仿宋_GB2312" w:hAnsi="仿宋_GB2312" w:cs="仿宋_GB2312" w:eastAsia="仿宋_GB2312"/>
                      <w:sz w:val="24"/>
                    </w:rPr>
                    <w:t>100</w:t>
                  </w:r>
                  <w:r>
                    <w:rPr>
                      <w:rFonts w:ascii="仿宋_GB2312" w:hAnsi="仿宋_GB2312" w:cs="仿宋_GB2312" w:eastAsia="仿宋_GB2312"/>
                      <w:sz w:val="24"/>
                    </w:rPr>
                    <w:t>人以上，需安排专场体检。根据甲方需要提供充足的车辆接送教职工，相关费用均由乙方承担。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体检结束一周之内，完成个人电子及纸质报告。个人体检报告在体检结束后</w:t>
                  </w:r>
                  <w:r>
                    <w:rPr>
                      <w:rFonts w:ascii="仿宋_GB2312" w:hAnsi="仿宋_GB2312" w:cs="仿宋_GB2312" w:eastAsia="仿宋_GB2312"/>
                      <w:sz w:val="24"/>
                    </w:rPr>
                    <w:t>5</w:t>
                  </w:r>
                  <w:r>
                    <w:rPr>
                      <w:rFonts w:ascii="仿宋_GB2312" w:hAnsi="仿宋_GB2312" w:cs="仿宋_GB2312" w:eastAsia="仿宋_GB2312"/>
                      <w:sz w:val="24"/>
                    </w:rPr>
                    <w:t>天内，统一送至甲方，不单独发放给个人。体检结束后两周内，完成团检报告，并提供加盖公章的纸质版团检报告。</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现场提供个人问诊咨询、体检报告解读服务等。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签订合</w:t>
                  </w:r>
                  <w:r>
                    <w:rPr>
                      <w:rFonts w:ascii="仿宋_GB2312" w:hAnsi="仿宋_GB2312" w:cs="仿宋_GB2312" w:eastAsia="仿宋_GB2312"/>
                      <w:sz w:val="24"/>
                    </w:rPr>
                    <w:t>同之日起，一年以内，提供专家义诊和健康讲座各</w:t>
                  </w:r>
                  <w:r>
                    <w:rPr>
                      <w:rFonts w:ascii="仿宋_GB2312" w:hAnsi="仿宋_GB2312" w:cs="仿宋_GB2312" w:eastAsia="仿宋_GB2312"/>
                      <w:sz w:val="24"/>
                    </w:rPr>
                    <w:t>4</w:t>
                  </w:r>
                  <w:r>
                    <w:rPr>
                      <w:rFonts w:ascii="仿宋_GB2312" w:hAnsi="仿宋_GB2312" w:cs="仿宋_GB2312" w:eastAsia="仿宋_GB2312"/>
                      <w:sz w:val="24"/>
                    </w:rPr>
                    <w:t>场（共</w:t>
                  </w:r>
                  <w:r>
                    <w:rPr>
                      <w:rFonts w:ascii="仿宋_GB2312" w:hAnsi="仿宋_GB2312" w:cs="仿宋_GB2312" w:eastAsia="仿宋_GB2312"/>
                      <w:sz w:val="24"/>
                    </w:rPr>
                    <w:t>8</w:t>
                  </w:r>
                  <w:r>
                    <w:rPr>
                      <w:rFonts w:ascii="仿宋_GB2312" w:hAnsi="仿宋_GB2312" w:cs="仿宋_GB2312" w:eastAsia="仿宋_GB2312"/>
                      <w:sz w:val="24"/>
                    </w:rPr>
                    <w:t>场），为甲方大型活动提供医疗救护车</w:t>
                  </w:r>
                  <w:r>
                    <w:rPr>
                      <w:rFonts w:ascii="仿宋_GB2312" w:hAnsi="仿宋_GB2312" w:cs="仿宋_GB2312" w:eastAsia="仿宋_GB2312"/>
                      <w:sz w:val="24"/>
                    </w:rPr>
                    <w:t>3</w:t>
                  </w:r>
                  <w:r>
                    <w:rPr>
                      <w:rFonts w:ascii="仿宋_GB2312" w:hAnsi="仿宋_GB2312" w:cs="仿宋_GB2312" w:eastAsia="仿宋_GB2312"/>
                      <w:sz w:val="24"/>
                    </w:rPr>
                    <w:t>次（含救护车医疗设备及司机、医生、护士各</w:t>
                  </w:r>
                  <w:r>
                    <w:rPr>
                      <w:rFonts w:ascii="仿宋_GB2312" w:hAnsi="仿宋_GB2312" w:cs="仿宋_GB2312" w:eastAsia="仿宋_GB2312"/>
                      <w:sz w:val="24"/>
                    </w:rPr>
                    <w:t>1</w:t>
                  </w:r>
                  <w:r>
                    <w:rPr>
                      <w:rFonts w:ascii="仿宋_GB2312" w:hAnsi="仿宋_GB2312" w:cs="仿宋_GB2312" w:eastAsia="仿宋_GB2312"/>
                      <w:sz w:val="24"/>
                    </w:rPr>
                    <w:t>人）和医疗保障服务</w:t>
                  </w:r>
                  <w:r>
                    <w:rPr>
                      <w:rFonts w:ascii="仿宋_GB2312" w:hAnsi="仿宋_GB2312" w:cs="仿宋_GB2312" w:eastAsia="仿宋_GB2312"/>
                      <w:sz w:val="24"/>
                    </w:rPr>
                    <w:t>3</w:t>
                  </w:r>
                  <w:r>
                    <w:rPr>
                      <w:rFonts w:ascii="仿宋_GB2312" w:hAnsi="仿宋_GB2312" w:cs="仿宋_GB2312" w:eastAsia="仿宋_GB2312"/>
                      <w:sz w:val="24"/>
                    </w:rPr>
                    <w:t>次（需配备医生、护士各</w:t>
                  </w:r>
                  <w:r>
                    <w:rPr>
                      <w:rFonts w:ascii="仿宋_GB2312" w:hAnsi="仿宋_GB2312" w:cs="仿宋_GB2312" w:eastAsia="仿宋_GB2312"/>
                      <w:sz w:val="24"/>
                    </w:rPr>
                    <w:t>1</w:t>
                  </w:r>
                  <w:r>
                    <w:rPr>
                      <w:rFonts w:ascii="仿宋_GB2312" w:hAnsi="仿宋_GB2312" w:cs="仿宋_GB2312" w:eastAsia="仿宋_GB2312"/>
                      <w:sz w:val="24"/>
                    </w:rPr>
                    <w:t>人），每</w:t>
                  </w:r>
                  <w:r>
                    <w:rPr>
                      <w:rFonts w:ascii="仿宋_GB2312" w:hAnsi="仿宋_GB2312" w:cs="仿宋_GB2312" w:eastAsia="仿宋_GB2312"/>
                      <w:sz w:val="24"/>
                    </w:rPr>
                    <w:t>次</w:t>
                  </w:r>
                  <w:r>
                    <w:rPr>
                      <w:rFonts w:ascii="仿宋_GB2312" w:hAnsi="仿宋_GB2312" w:cs="仿宋_GB2312" w:eastAsia="仿宋_GB2312"/>
                      <w:sz w:val="24"/>
                    </w:rPr>
                    <w:t>1</w:t>
                  </w:r>
                  <w:r>
                    <w:rPr>
                      <w:rFonts w:ascii="仿宋_GB2312" w:hAnsi="仿宋_GB2312" w:cs="仿宋_GB2312" w:eastAsia="仿宋_GB2312"/>
                      <w:sz w:val="24"/>
                    </w:rPr>
                    <w:t>天（如运动会，大型赛事等），相关费用由乙方承担。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教职工家属可享受中标体检项目套餐同等优惠服务，费用自理。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对于体检过程中发现的学校人员的疾病、疾病征兆及健康隐患，乙方应在体检报告中予以充分地说明；重大阳性第一时间通知甲方；乙方为甲方安排</w:t>
                  </w:r>
                  <w:r>
                    <w:rPr>
                      <w:rFonts w:ascii="仿宋_GB2312" w:hAnsi="仿宋_GB2312" w:cs="仿宋_GB2312" w:eastAsia="仿宋_GB2312"/>
                      <w:sz w:val="24"/>
                    </w:rPr>
                    <w:t>2</w:t>
                  </w:r>
                  <w:r>
                    <w:rPr>
                      <w:rFonts w:ascii="仿宋_GB2312" w:hAnsi="仿宋_GB2312" w:cs="仿宋_GB2312" w:eastAsia="仿宋_GB2312"/>
                      <w:sz w:val="24"/>
                    </w:rPr>
                    <w:t>次以上到甲方单位的体检报告解读分析。</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如需要进一步就诊，可以协助建立就医绿色通道，如需要进一步住院，可以协助办理住院手续，如需要进一步会诊诊断，可以协助办理会诊流程。</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在体检过程中知悉的学校人员资料（包括但不限于姓名、年龄、体检指标、健康状况等）乙方负有充分的保密义务，并且这种保密义务不受时间的限制。</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免费停车服务，甲方单位员工来体检可享受免费停车服务。</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磋商文件、响应文件也是合同的组成部分，合同中未约定的以磋商文件、响应文件为准，乙方的投标文件及招标现场承诺内容视为本合同的内容。</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体检费用为必检项目</w:t>
                  </w:r>
                  <w:r>
                    <w:rPr>
                      <w:rFonts w:ascii="仿宋_GB2312" w:hAnsi="仿宋_GB2312" w:cs="仿宋_GB2312" w:eastAsia="仿宋_GB2312"/>
                      <w:sz w:val="24"/>
                    </w:rPr>
                    <w:t>+</w:t>
                  </w:r>
                  <w:r>
                    <w:rPr>
                      <w:rFonts w:ascii="仿宋_GB2312" w:hAnsi="仿宋_GB2312" w:cs="仿宋_GB2312" w:eastAsia="仿宋_GB2312"/>
                      <w:sz w:val="24"/>
                    </w:rPr>
                    <w:t>其他项目套餐。应标机构应给出必检项目明确折扣后的价格。其他项目套餐费用根据必检项目和三类体检人群的固定费用，用折扣后剩余的费用提供其他体检项目套餐，建议分类为消化系统套餐、心脑血管系统套餐、女性妇科套餐、内分泌系统套餐、呼吸系统套餐等。</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个人自选项目：教职工可根据个人需求，选择除必检项目</w:t>
                  </w:r>
                  <w:r>
                    <w:rPr>
                      <w:rFonts w:ascii="仿宋_GB2312" w:hAnsi="仿宋_GB2312" w:cs="仿宋_GB2312" w:eastAsia="仿宋_GB2312"/>
                      <w:sz w:val="24"/>
                    </w:rPr>
                    <w:t>+</w:t>
                  </w:r>
                  <w:r>
                    <w:rPr>
                      <w:rFonts w:ascii="仿宋_GB2312" w:hAnsi="仿宋_GB2312" w:cs="仿宋_GB2312" w:eastAsia="仿宋_GB2312"/>
                      <w:sz w:val="24"/>
                    </w:rPr>
                    <w:t>其他项目套餐以外的项目，费用自理。应标机构需提供除必检项目</w:t>
                  </w:r>
                  <w:r>
                    <w:rPr>
                      <w:rFonts w:ascii="仿宋_GB2312" w:hAnsi="仿宋_GB2312" w:cs="仿宋_GB2312" w:eastAsia="仿宋_GB2312"/>
                      <w:sz w:val="24"/>
                    </w:rPr>
                    <w:t>+</w:t>
                  </w:r>
                  <w:r>
                    <w:rPr>
                      <w:rFonts w:ascii="仿宋_GB2312" w:hAnsi="仿宋_GB2312" w:cs="仿宋_GB2312" w:eastAsia="仿宋_GB2312"/>
                      <w:sz w:val="24"/>
                    </w:rPr>
                    <w:t>其他项目套餐外的项目目录，注明原价、折扣及折扣后价格，供教职工自选。</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整个项目应符合国家有关规范和标准。</w:t>
                  </w:r>
                </w:p>
                <w:p>
                  <w:pPr>
                    <w:pStyle w:val="null3"/>
                    <w:ind w:firstLine="480"/>
                    <w:jc w:val="both"/>
                  </w:pPr>
                  <w:r>
                    <w:rPr>
                      <w:rFonts w:ascii="仿宋_GB2312" w:hAnsi="仿宋_GB2312" w:cs="仿宋_GB2312" w:eastAsia="仿宋_GB2312"/>
                      <w:sz w:val="24"/>
                    </w:rPr>
                    <w:t>提供健康体检服务，严格遵守相关部门颁布的《中华人民共和国医师法》《医疗机构管理条例》《护士条例》和《健康体检管理暂行规定》等法律法规，采取有效措施保证健康体检的质量。</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2025年6月上旬-7月上旬（暂定）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中标机构所在地（西安市区内）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1.按合同完成全部体检项目，无漏检、少检，按约定时间提交个人电子及纸质报告。 2.实际参检人数与学校确认名单一致。按实际参检人数和中标单价（不同人员及各年龄段分类单价）结算费用，附明细清单。 3.中标方完成采购需求所有要求情况。 4.中标方完成招标过程的承诺和合同约定条款的情况。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根据体检人员分类及其固定单价，甲方以实际到检数据据实结算。体检结束之后，成交乙方提供甲方参检人员清单及发票，甲方核对无误后一次性支付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2、纸质响应文件正副本分别胶装，标明供应商名称密封递交。 3、线下纸质文件 递交截止时间：同在线递交电子响应文件截止时间一致；线下纸质文件递交地点：西安市莲湖区高新四路1号高科广场A0503第八会议室。 如需邮寄响应文件，仅接受顺丰速运。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 （2）财务状况报告：提供2023年度或2024年度经审计的财务报告（包括“四表一注”，即资产负债表、利润表、现金流量表、所有者权益变动表及其附注，成立时间至提交投标文件截止时间不足一年的可提供成立后任意时段的资产负债表）（事业法人可提供部门决算报告），或磋商时间前六个月内银行出具的资信证明或或提供政府采购专业担保机构出具的投标担保函。（以上形式的资料提供任何一种即可） （3）税收缴纳证明：提供2024年5月至今已缴纳至少一个月的依法缴纳税款的相关凭据（时间以税款所属日期为准、税种须包含增值税或企业所得税），凭据应有税务机关或代收机关的公章或业务专用章。依法免税或无须缴纳税款的应提供相关证明文件。 （4）社会保障资金缴存证明：提供2024年5月至今已缴存的至少一个月的社会保障资金缴存单据或社保机构开具的社会保险参保缴费情况证明，依法不需要缴存社会保障资金的单位应提供相关证明材料。 （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（6）承诺函：提供具有履行合同所必需的设备和专业技术能力的承诺函。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财务制定证明材料.docx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法定代表人授权书及被授权人身份证。（法定代表人直接磋商只须提供其身份证明），事业单位法人参照执行。</w:t>
            </w:r>
          </w:p>
        </w:tc>
        <w:tc>
          <w:tcPr>
            <w:tcW w:type="dxa" w:w="1661"/>
          </w:tcPr>
          <w:p>
            <w:pPr>
              <w:pStyle w:val="null3"/>
            </w:pPr>
            <w:r>
              <w:rPr>
                <w:rFonts w:ascii="仿宋_GB2312" w:hAnsi="仿宋_GB2312" w:cs="仿宋_GB2312" w:eastAsia="仿宋_GB2312"/>
              </w:rPr>
              <w:t>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《医疗机构执业许可证》</w:t>
            </w:r>
          </w:p>
        </w:tc>
        <w:tc>
          <w:tcPr>
            <w:tcW w:type="dxa" w:w="3322"/>
          </w:tcPr>
          <w:p>
            <w:pPr>
              <w:pStyle w:val="null3"/>
            </w:pPr>
            <w:r>
              <w:rPr>
                <w:rFonts w:ascii="仿宋_GB2312" w:hAnsi="仿宋_GB2312" w:cs="仿宋_GB2312" w:eastAsia="仿宋_GB2312"/>
              </w:rPr>
              <w:t>具有有效的《医疗机构执业许可证》</w:t>
            </w:r>
          </w:p>
        </w:tc>
        <w:tc>
          <w:tcPr>
            <w:tcW w:type="dxa" w:w="1661"/>
          </w:tcPr>
          <w:p>
            <w:pPr>
              <w:pStyle w:val="null3"/>
            </w:pPr>
            <w:r>
              <w:rPr>
                <w:rFonts w:ascii="仿宋_GB2312" w:hAnsi="仿宋_GB2312" w:cs="仿宋_GB2312" w:eastAsia="仿宋_GB2312"/>
              </w:rPr>
              <w:t>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《放射诊疗许可证》</w:t>
            </w:r>
          </w:p>
        </w:tc>
        <w:tc>
          <w:tcPr>
            <w:tcW w:type="dxa" w:w="3322"/>
          </w:tcPr>
          <w:p>
            <w:pPr>
              <w:pStyle w:val="null3"/>
            </w:pPr>
            <w:r>
              <w:rPr>
                <w:rFonts w:ascii="仿宋_GB2312" w:hAnsi="仿宋_GB2312" w:cs="仿宋_GB2312" w:eastAsia="仿宋_GB2312"/>
              </w:rPr>
              <w:t>具有有效的《放射诊疗许可证》</w:t>
            </w:r>
          </w:p>
        </w:tc>
        <w:tc>
          <w:tcPr>
            <w:tcW w:type="dxa" w:w="1661"/>
          </w:tcPr>
          <w:p>
            <w:pPr>
              <w:pStyle w:val="null3"/>
            </w:pPr>
            <w:r>
              <w:rPr>
                <w:rFonts w:ascii="仿宋_GB2312" w:hAnsi="仿宋_GB2312" w:cs="仿宋_GB2312" w:eastAsia="仿宋_GB2312"/>
              </w:rPr>
              <w:t>应提交的资格证明材料.docx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体检时间及地点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完整详细的服务方案，包含但不限于体检流程、具体场次安排、体检实施时的引导及陪护、体检结果质量保证措施、体检发现疾病疾病的后续服务、健康管理建议、健康风险评估、人员接送、早餐派发等要素，要求方案内容完整、表述清晰、 问题剖析精准、重点把握准确且符合本项目实际需求。 1、服务方案合理、针对性强、架构清晰完整，计10分； 2、服务方案较合理、针对性较强、架构比较清晰完整，计7分； 3、服务方案基本合理、针对性强、架构基本清晰完整，计4分； 4、服务方案合理性一般、针对性不强、架构不够清晰，计1分；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其他项目套餐</w:t>
            </w:r>
          </w:p>
        </w:tc>
        <w:tc>
          <w:tcPr>
            <w:tcW w:type="dxa" w:w="2492"/>
          </w:tcPr>
          <w:p>
            <w:pPr>
              <w:pStyle w:val="null3"/>
            </w:pPr>
            <w:r>
              <w:rPr>
                <w:rFonts w:ascii="仿宋_GB2312" w:hAnsi="仿宋_GB2312" w:cs="仿宋_GB2312" w:eastAsia="仿宋_GB2312"/>
              </w:rPr>
              <w:t>供应商根据三类体检人群必检项目固定费用折后剩余费用提供其他体检项目套餐，套餐内容应针对不同人群或不同系统疾病制定，设置科学合理，满足教职工的需求。 1、套餐内容科学合理，满足教职工的需求，计12分； 2、套餐内容较科学合理，基本满足教职工的需求，计9分； 3、套餐内容较简单，针对性一般，计6分； 4、套餐内容简单，针对性较差，计3分； 5、套餐内容过于简单笼统，针对性差，计1分； 6、未提供不计分。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个人自选项目</w:t>
            </w:r>
          </w:p>
        </w:tc>
        <w:tc>
          <w:tcPr>
            <w:tcW w:type="dxa" w:w="2492"/>
          </w:tcPr>
          <w:p>
            <w:pPr>
              <w:pStyle w:val="null3"/>
            </w:pPr>
            <w:r>
              <w:rPr>
                <w:rFonts w:ascii="仿宋_GB2312" w:hAnsi="仿宋_GB2312" w:cs="仿宋_GB2312" w:eastAsia="仿宋_GB2312"/>
              </w:rPr>
              <w:t>供应商针对本项目有其他可供选择的个人自选项目且有价格优惠。 1、项目目录完整，价格优惠力度最大，计2分； 2、项目目录较完整，价格优惠力度较大，计1分； 3、项目目录基本完整，价格优惠力度一般，计0.5分； 4、无优惠不计分。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采购需求提供服务质量保障承诺，内容包含但不限于：体检工作人员服务热情，引导分检工作人员积极主动性强；体检后提供免费的早餐；对团检单位预留专场体检时间，并在专场时间中免费提供车接车送； 1、内容合理、针对性强、架构清晰完整，计5分； 2、内容较合理、针对性较强、架构较清晰完整，计3分； 3、内容基本合理、针对性一般、架构基本清晰完整，1分；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针对本项目提供体检空间和受检者专用通道，遵循“医检分开、相对独立”的原则，防止受检者与其他无关人员接触，并提供证明材料；有男、女体检空间的划分，体检环境布局合理。 1、独立体检空间充足，受检者专用通道标志明确，证明材料齐全，计4分； 2、独立体检空间不足，受检者专用通道较混乱，证明材料较齐全，计3分； 3、缺乏针对本项目的独立体检空间及受检者专用通道，证明材料不齐全，计1分；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体检报告</w:t>
            </w:r>
          </w:p>
        </w:tc>
        <w:tc>
          <w:tcPr>
            <w:tcW w:type="dxa" w:w="2492"/>
          </w:tcPr>
          <w:p>
            <w:pPr>
              <w:pStyle w:val="null3"/>
            </w:pPr>
            <w:r>
              <w:rPr>
                <w:rFonts w:ascii="仿宋_GB2312" w:hAnsi="仿宋_GB2312" w:cs="仿宋_GB2312" w:eastAsia="仿宋_GB2312"/>
              </w:rPr>
              <w:t>全体人员体检完成后须在规定时间内向采购人提供体检结果分析、治疗建议及健康评估报告，并向采购人提供被检人员的体检结果详细资料及电子文档。体检报告中出现异常指标出具专业意见及治疗方案。 1、报告内容合理、针对性强、清晰完整，计5分； 2、报告内容较合理、针对性较强、较清晰完整，计3分； 3、报告内容基本合理、针对性一般、基本清晰完整，计1分；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应急 预案</w:t>
            </w:r>
          </w:p>
        </w:tc>
        <w:tc>
          <w:tcPr>
            <w:tcW w:type="dxa" w:w="2492"/>
          </w:tcPr>
          <w:p>
            <w:pPr>
              <w:pStyle w:val="null3"/>
            </w:pPr>
            <w:r>
              <w:rPr>
                <w:rFonts w:ascii="仿宋_GB2312" w:hAnsi="仿宋_GB2312" w:cs="仿宋_GB2312" w:eastAsia="仿宋_GB2312"/>
              </w:rPr>
              <w:t>供应商提供针对本项目的应急处理措施及解决方案（如晕血、晕针、低血糖等、供应商仪器故障或因其他人力不可抗拒因素，导致未能按时出具检测报告等）。 1、方案合理、针对性强、架构清晰完整，计5分； 2、方案较合理、针对性较强、架构较清晰完整，计3分； 3、方案基本合理、针对性一般、架构基本清晰完整，计1分；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拟投入本项目体检设备</w:t>
            </w:r>
          </w:p>
        </w:tc>
        <w:tc>
          <w:tcPr>
            <w:tcW w:type="dxa" w:w="2492"/>
          </w:tcPr>
          <w:p>
            <w:pPr>
              <w:pStyle w:val="null3"/>
            </w:pPr>
            <w:r>
              <w:rPr>
                <w:rFonts w:ascii="仿宋_GB2312" w:hAnsi="仿宋_GB2312" w:cs="仿宋_GB2312" w:eastAsia="仿宋_GB2312"/>
              </w:rPr>
              <w:t>供应商根据本项目体检内容提供相对应的辅助仪器设备， 提供详细的设备规格、型号、使用用途等。包括生化分析仪、眼科设备、彩超、CT、核磁、胃镜、肠镜等，并提供本单位证明材料。 1、种类齐全，设备先进，功能描述清晰详尽，资料齐全，充分满足本项目服务需求，计5分； 2、种类多样，部分设备先进，功能描述较清晰，资料较齐全，满足本项目服务需求，计3分； 3、种类多样、部分设备先进，功能描述清晰但不够详尽，资料基本齐全，基本满足本项目服务需求，计1分；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1、供应商提供针对本项目的服务团队人员配备表，根据人员职称、工作经验、工作年限等情况赋分，提供相关证明材料（包括但不限于人员执业证书、职称证、工作经验证明材料等）： （1）人员配备合理、经验丰富、专业性强、证明材料齐全，计6分； （2）人员配备较合理、经验较丰富、专业性一般、证明材料基本齐全，计4分 （3）人员配备不合理、经验欠缺、专业性差、证明材料不齐全计2分；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2、主检医生：具有医疗类或护理类中级职称的，每提供一个计 1 分；具有医疗类或护理类高级或以上职称的，每提供一个计2分。本项最高计4分。(提供人员相关证书及本单位近 1 年内任意三个月的社保缴纳证明或聘用合同)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服务规范及标准</w:t>
            </w:r>
          </w:p>
        </w:tc>
        <w:tc>
          <w:tcPr>
            <w:tcW w:type="dxa" w:w="2492"/>
          </w:tcPr>
          <w:p>
            <w:pPr>
              <w:pStyle w:val="null3"/>
            </w:pPr>
            <w:r>
              <w:rPr>
                <w:rFonts w:ascii="仿宋_GB2312" w:hAnsi="仿宋_GB2312" w:cs="仿宋_GB2312" w:eastAsia="仿宋_GB2312"/>
              </w:rPr>
              <w:t>供应商针对本项目有相应的服务规范及标准，须完全符合行业要求和国家规定。在服务期间完全按照采购人要求进行检测、及时出具检测报告等。 1、所提供的服务承诺全面完整，科学合理，计5分； 2、所提供的服务承诺较简单，基本合理，计3分； 3、所提供的服务承诺有待优化，有缺陷，计1分；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检后服务措施</w:t>
            </w:r>
          </w:p>
        </w:tc>
        <w:tc>
          <w:tcPr>
            <w:tcW w:type="dxa" w:w="2492"/>
          </w:tcPr>
          <w:p>
            <w:pPr>
              <w:pStyle w:val="null3"/>
            </w:pPr>
            <w:r>
              <w:rPr>
                <w:rFonts w:ascii="仿宋_GB2312" w:hAnsi="仿宋_GB2312" w:cs="仿宋_GB2312" w:eastAsia="仿宋_GB2312"/>
              </w:rPr>
              <w:t>根据供应商针对本项目有详细的检后服务承诺、服务条款、保证检后服务质量措施等进行评审。 1、检后服务承诺、服务条款、保证检后服务质量的措施科学合理、满足项目要求，合理性、针对性强，计5分； 2、检后服务承诺、服务条款、保证检后服务质量的措施有一定的可行性，基本满足项目要求，具有一定的合理性、针对性，计3分； 3、检后服务承诺、服务条款、保证检后服务质量的措施可行性较差，合理性、针对性较差的，计1分；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保密 措施</w:t>
            </w:r>
          </w:p>
        </w:tc>
        <w:tc>
          <w:tcPr>
            <w:tcW w:type="dxa" w:w="2492"/>
          </w:tcPr>
          <w:p>
            <w:pPr>
              <w:pStyle w:val="null3"/>
            </w:pPr>
            <w:r>
              <w:rPr>
                <w:rFonts w:ascii="仿宋_GB2312" w:hAnsi="仿宋_GB2312" w:cs="仿宋_GB2312" w:eastAsia="仿宋_GB2312"/>
              </w:rPr>
              <w:t>供应商须保证参检人员所有信息数据不得外泄，做好保密工作，有具体的保密措施及承诺。 1、措施合理、针对性强、架构清晰完整，计5分； 2、措施较合理、针对性较强、架构较清晰完整，计3分； 3、措施基本合理、针对性较差、架构不完整，计1分；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增值服 务方案</w:t>
            </w:r>
          </w:p>
        </w:tc>
        <w:tc>
          <w:tcPr>
            <w:tcW w:type="dxa" w:w="2492"/>
          </w:tcPr>
          <w:p>
            <w:pPr>
              <w:pStyle w:val="null3"/>
            </w:pPr>
            <w:r>
              <w:rPr>
                <w:rFonts w:ascii="仿宋_GB2312" w:hAnsi="仿宋_GB2312" w:cs="仿宋_GB2312" w:eastAsia="仿宋_GB2312"/>
              </w:rPr>
              <w:t>根据响应文件所提供的针对本项目的增值服务方案(提供中式营养早餐，包括但不限于包子、稀饭、豆浆、鸡蛋、小菜等；需复查或做额外的深度检查的优惠政策等)。 1、所提供的增值服务方案内容全面、针对性强、可实施性强，计6分； 2、所提供的增值服务方案较简单、针对性一般、基本合理可行，计4分； 3、所提供的增值服务方案有待优化，针对性较差，计2分；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综合实力1</w:t>
            </w:r>
          </w:p>
        </w:tc>
        <w:tc>
          <w:tcPr>
            <w:tcW w:type="dxa" w:w="2492"/>
          </w:tcPr>
          <w:p>
            <w:pPr>
              <w:pStyle w:val="null3"/>
            </w:pPr>
            <w:r>
              <w:rPr>
                <w:rFonts w:ascii="仿宋_GB2312" w:hAnsi="仿宋_GB2312" w:cs="仿宋_GB2312" w:eastAsia="仿宋_GB2312"/>
              </w:rPr>
              <w:t>针对本项目提供体检服务地点布局图及照片，同时提供房屋租赁或购买证明。 1、空间大、布局合理、环境好计4分； 2、空间较大、布局、环境一般计2分； 3、空间、布局、环境较差计1分，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综合实力2</w:t>
            </w:r>
          </w:p>
        </w:tc>
        <w:tc>
          <w:tcPr>
            <w:tcW w:type="dxa" w:w="2492"/>
          </w:tcPr>
          <w:p>
            <w:pPr>
              <w:pStyle w:val="null3"/>
            </w:pPr>
            <w:r>
              <w:rPr>
                <w:rFonts w:ascii="仿宋_GB2312" w:hAnsi="仿宋_GB2312" w:cs="仿宋_GB2312" w:eastAsia="仿宋_GB2312"/>
              </w:rPr>
              <w:t>供应商为三级甲等医院的计2分；其他计1分。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提供2022年1月1日至今（以合同签订时间为准）同类项目业绩合同，每份计1分，满分5分。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平均折扣得分统一采用低价优先法计算，即最低平均折扣为磋商基准价，其价格分为满分。其他供应商的得分统一按照下列公式计算:磋商报价得分=(磋商基准价／折扣)×10 备注： 1、计算分数时四舍五入取小数点后两位 。 2、平均折扣是指必检项目折扣和其他项目套餐折扣的平均值。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详见附件：应提交的资格证明材料.docx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详见附件：技术偏差表.docx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详见附件：财务制定证明材料.docx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