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版本号：ZBZB-2025-263220250605002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全省2023年度、2024年度县域商业建设行动绩效评价</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ZBZB-2025-2632</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全省2023年度、2024年度县域商业建设行动绩效评价</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ZBZB-2025-2632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全省2023年度、2024年度县域商业建设行动绩效评价</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全省2023年度、2024年度县域商业建设行动绩效评价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采购包1（全省县域商业建设行动绩效评价）：属于专门面向小微企业采购。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 供应商应提交的相关资格证明材料</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 供应商应提交的相关资格证明材料</w:t>
      </w:r>
    </w:p>
    <w:p>
      <w:pPr>
        <w:pStyle w:val="null3"/>
      </w:pPr>
      <w:r>
        <w:rPr>
          <w:rFonts w:ascii="仿宋_GB2312" w:hAnsi="仿宋_GB2312" w:cs="仿宋_GB2312" w:eastAsia="仿宋_GB2312"/>
        </w:rPr>
        <w:t>3、财务状况报告：提供2023或2024年度财务审计报告（至少包括常规和三表一注，成立时间至提交磋商响应文件截止时间不足一年的可提供成立后任意时段的资产负债表），或其开标前六个月内基本存款账户开户银行出具的资信证明； 供应商应提交的相关资格证明材料</w:t>
      </w:r>
    </w:p>
    <w:p>
      <w:pPr>
        <w:pStyle w:val="null3"/>
      </w:pPr>
      <w:r>
        <w:rPr>
          <w:rFonts w:ascii="仿宋_GB2312" w:hAnsi="仿宋_GB2312" w:cs="仿宋_GB2312" w:eastAsia="仿宋_GB2312"/>
        </w:rPr>
        <w:t>4、社会保障资金缴纳证明：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供应商应提交的相关资格证明材料</w:t>
      </w:r>
    </w:p>
    <w:p>
      <w:pPr>
        <w:pStyle w:val="null3"/>
      </w:pPr>
      <w:r>
        <w:rPr>
          <w:rFonts w:ascii="仿宋_GB2312" w:hAnsi="仿宋_GB2312" w:cs="仿宋_GB2312" w:eastAsia="仿宋_GB2312"/>
        </w:rPr>
        <w:t>5、税收缴纳证明：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 供应商应提交的相关资格证明材料</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供应商应提交的相关资格证明材料</w:t>
      </w:r>
    </w:p>
    <w:p>
      <w:pPr>
        <w:pStyle w:val="null3"/>
      </w:pPr>
      <w:r>
        <w:rPr>
          <w:rFonts w:ascii="仿宋_GB2312" w:hAnsi="仿宋_GB2312" w:cs="仿宋_GB2312" w:eastAsia="仿宋_GB2312"/>
        </w:rPr>
        <w:t>7、承诺书：提供具有履行合同所必需的设备和专业技术能力的承诺书； 供应商应提交的相关资格证明材料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029-63913878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采购包1保证金金额：9,920.00元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开户银行：平安银行西安分行营业部/平安银行西安分行</w:t>
            </w:r>
          </w:p>
          <w:p>
            <w:pPr>
              <w:pStyle w:val="null3"/>
            </w:pPr>
            <w:r>
              <w:rPr>
                <w:rFonts w:ascii="仿宋_GB2312" w:hAnsi="仿宋_GB2312" w:cs="仿宋_GB2312" w:eastAsia="仿宋_GB2312"/>
              </w:rPr>
              <w:t>银行账号：30205380001882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如本项目各包服务费不足伍仟元则供应商按伍仟元支付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联系电话：029-85578186转838</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全省2023年度、2024年度县域商业建设行动绩效评价</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496,000.00</w:t>
      </w:r>
    </w:p>
    <w:p>
      <w:pPr>
        <w:pStyle w:val="null3"/>
      </w:pPr>
      <w:r>
        <w:rPr>
          <w:rFonts w:ascii="仿宋_GB2312" w:hAnsi="仿宋_GB2312" w:cs="仿宋_GB2312" w:eastAsia="仿宋_GB2312"/>
        </w:rPr>
        <w:t>采购包最高限价（元）: 496,000.00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全省县域商业建设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标的名称：全省县域商业建设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采购内容及要求：</w:t>
            </w:r>
          </w:p>
          <w:p>
            <w:pPr>
              <w:pStyle w:val="null3"/>
              <w:jc w:val="left"/>
            </w:pPr>
            <w:r>
              <w:rPr>
                <w:rFonts w:ascii="仿宋_GB2312" w:hAnsi="仿宋_GB2312" w:cs="仿宋_GB2312" w:eastAsia="仿宋_GB2312"/>
                <w:sz w:val="20"/>
              </w:rPr>
              <w:t>1.根据《陕西县域商业建设行动项目管理办法（试行）》（陕商发〔</w:t>
            </w:r>
            <w:r>
              <w:rPr>
                <w:rFonts w:ascii="仿宋_GB2312" w:hAnsi="仿宋_GB2312" w:cs="仿宋_GB2312" w:eastAsia="仿宋_GB2312"/>
                <w:sz w:val="20"/>
              </w:rPr>
              <w:t>2023〕11号）等文件要求，通过审核项目承办企业验收申报材料完整性、财务凭证的有效性，现场建设完成情况等，对各行动县项目完成情况和实施效果进行全面评估，并出具项目财务凭证复核情况统计表</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2.开展</w:t>
            </w:r>
            <w:r>
              <w:rPr>
                <w:rFonts w:ascii="仿宋_GB2312" w:hAnsi="仿宋_GB2312" w:cs="仿宋_GB2312" w:eastAsia="仿宋_GB2312"/>
                <w:sz w:val="20"/>
              </w:rPr>
              <w:t>2023年度</w:t>
            </w:r>
            <w:r>
              <w:rPr>
                <w:rFonts w:ascii="仿宋_GB2312" w:hAnsi="仿宋_GB2312" w:cs="仿宋_GB2312" w:eastAsia="仿宋_GB2312"/>
                <w:sz w:val="20"/>
              </w:rPr>
              <w:t>、</w:t>
            </w:r>
            <w:r>
              <w:rPr>
                <w:rFonts w:ascii="仿宋_GB2312" w:hAnsi="仿宋_GB2312" w:cs="仿宋_GB2312" w:eastAsia="仿宋_GB2312"/>
                <w:sz w:val="20"/>
              </w:rPr>
              <w:t>2024年度</w:t>
            </w:r>
            <w:r>
              <w:rPr>
                <w:rFonts w:ascii="仿宋_GB2312" w:hAnsi="仿宋_GB2312" w:cs="仿宋_GB2312" w:eastAsia="仿宋_GB2312"/>
                <w:sz w:val="20"/>
              </w:rPr>
              <w:t>县域商业建设行动绩效评价工作，通过采集数据、审核材料、现场核查等方式，根据县域商业行动县绩效指标体系对支持行动县项目实施情况开展绩效评价，重点评估推动落实、规范管理、重点任务、工作成效等指标完成情况</w:t>
            </w:r>
            <w:r>
              <w:rPr>
                <w:rFonts w:ascii="仿宋_GB2312" w:hAnsi="仿宋_GB2312" w:cs="仿宋_GB2312" w:eastAsia="仿宋_GB2312"/>
                <w:sz w:val="20"/>
              </w:rPr>
              <w:t>和分等定型结果</w:t>
            </w:r>
            <w:r>
              <w:rPr>
                <w:rFonts w:ascii="仿宋_GB2312" w:hAnsi="仿宋_GB2312" w:cs="仿宋_GB2312" w:eastAsia="仿宋_GB2312"/>
                <w:sz w:val="20"/>
              </w:rPr>
              <w:t>，并编写县域商业建设行动绩效评价报告。</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合同履行结束并验收合格后一次性付清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1.供应商缴纳保证金时请备注：2632保证金。 2.（1）为保证项目存档使用供应商须提交纸质响应文件正本壹份、副本贰份。（2）纸质响应文件正、副本分别胶装递交，递交截止时间：开标后2个工作日之内，递交地址：西安市雁塔区朱雀大街南段69号长丰园三区5号楼9层9006室。（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 供应商应提交的相关资格证明材料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 供应商应提交的相关资格证明材料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 供应商应提交的相关资格证明材料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供应商应提交的相关资格证明材料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 供应商应提交的相关资格证明材料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供应商应提交的相关资格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 供应商应提交的相关资格证明材料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项目总体概况及对本项目的理解和总体规划思路</w:t>
            </w:r>
          </w:p>
        </w:tc>
        <w:tc>
          <w:tcPr>
            <w:tcW w:type="dxa" w:w="2492"/>
          </w:tcPr>
          <w:p>
            <w:pPr>
              <w:pStyle w:val="null3"/>
            </w:pPr>
            <w:r>
              <w:rPr>
                <w:rFonts w:ascii="仿宋_GB2312" w:hAnsi="仿宋_GB2312" w:cs="仿宋_GB2312" w:eastAsia="仿宋_GB2312"/>
              </w:rPr>
              <w:t>根据项目总体概况及对本项目的理解和总体规划思路的科学性、先进性、合 理性进行评分，合理得 8.1-12.0 分，较合理得 4.1-8.0 分，一般得 0-4.0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工作范围及主要人员岗位职责阐述</w:t>
            </w:r>
          </w:p>
        </w:tc>
        <w:tc>
          <w:tcPr>
            <w:tcW w:type="dxa" w:w="2492"/>
          </w:tcPr>
          <w:p>
            <w:pPr>
              <w:pStyle w:val="null3"/>
            </w:pPr>
            <w:r>
              <w:rPr>
                <w:rFonts w:ascii="仿宋_GB2312" w:hAnsi="仿宋_GB2312" w:cs="仿宋_GB2312" w:eastAsia="仿宋_GB2312"/>
              </w:rPr>
              <w:t>根据工作范围及主要人员岗位职责阐述明确，配置合理、职能健全进行评分， 合理得 8.1-12.0 分，较合理得 4.1-8.0 分，一般得 0-4.0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服务工作方案、程序及措施</w:t>
            </w:r>
          </w:p>
        </w:tc>
        <w:tc>
          <w:tcPr>
            <w:tcW w:type="dxa" w:w="2492"/>
          </w:tcPr>
          <w:p>
            <w:pPr>
              <w:pStyle w:val="null3"/>
            </w:pPr>
            <w:r>
              <w:rPr>
                <w:rFonts w:ascii="仿宋_GB2312" w:hAnsi="仿宋_GB2312" w:cs="仿宋_GB2312" w:eastAsia="仿宋_GB2312"/>
              </w:rPr>
              <w:t>根据服务工作方案、程序及措施的合理性、完善性进行评分，合理得 10.1-15.0 分，较合理得 5.1-10.0 分，一般得 0-5.0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质量保证措施、进度保证措施</w:t>
            </w:r>
          </w:p>
        </w:tc>
        <w:tc>
          <w:tcPr>
            <w:tcW w:type="dxa" w:w="2492"/>
          </w:tcPr>
          <w:p>
            <w:pPr>
              <w:pStyle w:val="null3"/>
            </w:pPr>
            <w:r>
              <w:rPr>
                <w:rFonts w:ascii="仿宋_GB2312" w:hAnsi="仿宋_GB2312" w:cs="仿宋_GB2312" w:eastAsia="仿宋_GB2312"/>
              </w:rPr>
              <w:t>根据对质量保证措施、进度保证措施的可靠性、可实施性进行评分，合理得 8.1-12.0 分，较合理得 4.1-8.0 分，一般得 0-4.0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工作制度及保密措施</w:t>
            </w:r>
          </w:p>
        </w:tc>
        <w:tc>
          <w:tcPr>
            <w:tcW w:type="dxa" w:w="2492"/>
          </w:tcPr>
          <w:p>
            <w:pPr>
              <w:pStyle w:val="null3"/>
            </w:pPr>
            <w:r>
              <w:rPr>
                <w:rFonts w:ascii="仿宋_GB2312" w:hAnsi="仿宋_GB2312" w:cs="仿宋_GB2312" w:eastAsia="仿宋_GB2312"/>
              </w:rPr>
              <w:t>根据对工作制度及保密措施的可靠性、可实施性进行评分，合理得 8.1-12.0 分，较合理得 4.1-8.0 分，一般得 0-4.0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本项目工作的关键点分析及解决方案</w:t>
            </w:r>
          </w:p>
        </w:tc>
        <w:tc>
          <w:tcPr>
            <w:tcW w:type="dxa" w:w="2492"/>
          </w:tcPr>
          <w:p>
            <w:pPr>
              <w:pStyle w:val="null3"/>
            </w:pPr>
            <w:r>
              <w:rPr>
                <w:rFonts w:ascii="仿宋_GB2312" w:hAnsi="仿宋_GB2312" w:cs="仿宋_GB2312" w:eastAsia="仿宋_GB2312"/>
              </w:rPr>
              <w:t>根据对本项目工作的重点、难点分析及对策，合理得 8.1-12.0 分，较合理 得 4.1-8.0 分，一般得 0-4.0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根据采购文件内容要求作出相关服务承诺，合理得 3.1-5.0 分，较合理得 1.1-3.0 分，一般得 0-1.0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提供2022年5月至今同类项目，(以合同为准，复印件加盖公章)每份计2分，计满10分为止。 （注：参与省内2023年、2024年县级县域商业建设行动服务的业绩不计分）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