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4C0D9">
      <w:pPr>
        <w:pStyle w:val="9"/>
        <w:jc w:val="center"/>
        <w:outlineLvl w:val="1"/>
      </w:pPr>
      <w:bookmarkStart w:id="0" w:name="_Toc23673"/>
      <w:bookmarkStart w:id="18" w:name="_GoBack"/>
      <w:r>
        <w:rPr>
          <w:b/>
          <w:sz w:val="36"/>
        </w:rPr>
        <w:t>第八章 拟签订采购合同文本</w:t>
      </w:r>
      <w:bookmarkEnd w:id="0"/>
    </w:p>
    <w:bookmarkEnd w:id="18"/>
    <w:p w14:paraId="5A51B2A4">
      <w:pPr>
        <w:spacing w:line="56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（模板）</w:t>
      </w:r>
    </w:p>
    <w:p w14:paraId="623FDE75">
      <w:pPr>
        <w:pStyle w:val="5"/>
        <w:rPr>
          <w:rFonts w:hint="eastAsia"/>
          <w:lang w:eastAsia="zh-CN"/>
        </w:rPr>
      </w:pPr>
    </w:p>
    <w:p w14:paraId="2432F8A7">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53B4F006">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004D0C56">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C7CA401">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53E23D2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4886B9D9">
      <w:pPr>
        <w:pStyle w:val="3"/>
        <w:rPr>
          <w:rFonts w:hint="eastAsia" w:ascii="宋体" w:hAnsi="宋体" w:eastAsia="宋体" w:cs="宋体"/>
          <w:sz w:val="24"/>
          <w:szCs w:val="24"/>
        </w:rPr>
      </w:pPr>
      <w:bookmarkStart w:id="1" w:name="_Toc27113"/>
      <w:r>
        <w:rPr>
          <w:rFonts w:hint="eastAsia" w:ascii="宋体" w:hAnsi="宋体" w:eastAsia="宋体" w:cs="宋体"/>
          <w:sz w:val="24"/>
          <w:szCs w:val="24"/>
        </w:rPr>
        <w:t>第一条  项目基本情况</w:t>
      </w:r>
      <w:bookmarkEnd w:id="1"/>
    </w:p>
    <w:p w14:paraId="21550C1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14:paraId="2E1B22F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14:paraId="6A99527B">
      <w:pPr>
        <w:pStyle w:val="3"/>
        <w:rPr>
          <w:rFonts w:hint="eastAsia" w:ascii="宋体" w:hAnsi="宋体" w:eastAsia="宋体" w:cs="宋体"/>
          <w:sz w:val="24"/>
          <w:szCs w:val="24"/>
        </w:rPr>
      </w:pPr>
      <w:bookmarkStart w:id="2" w:name="_Toc31102"/>
      <w:r>
        <w:rPr>
          <w:rFonts w:hint="eastAsia" w:ascii="宋体" w:hAnsi="宋体" w:eastAsia="宋体" w:cs="宋体"/>
          <w:sz w:val="24"/>
          <w:szCs w:val="24"/>
        </w:rPr>
        <w:t>第二条  履约期限、地点及方式</w:t>
      </w:r>
      <w:bookmarkEnd w:id="2"/>
    </w:p>
    <w:p w14:paraId="55CE711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14:paraId="4DC0CFC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14:paraId="32B7437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14:paraId="2B399FDE">
      <w:pPr>
        <w:pStyle w:val="3"/>
        <w:rPr>
          <w:rFonts w:hint="eastAsia" w:ascii="宋体" w:hAnsi="宋体" w:eastAsia="宋体" w:cs="宋体"/>
          <w:sz w:val="24"/>
          <w:szCs w:val="24"/>
        </w:rPr>
      </w:pPr>
      <w:bookmarkStart w:id="3" w:name="_Toc29822"/>
      <w:r>
        <w:rPr>
          <w:rFonts w:hint="eastAsia" w:ascii="宋体" w:hAnsi="宋体" w:eastAsia="宋体" w:cs="宋体"/>
          <w:sz w:val="24"/>
          <w:szCs w:val="24"/>
        </w:rPr>
        <w:t>第三条  质量标准</w:t>
      </w:r>
      <w:bookmarkEnd w:id="3"/>
    </w:p>
    <w:p w14:paraId="4509EA8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1B4D5F6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14:paraId="3389308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14:paraId="59F5CC1B">
      <w:pPr>
        <w:pStyle w:val="3"/>
        <w:rPr>
          <w:rFonts w:hint="eastAsia" w:ascii="宋体" w:hAnsi="宋体" w:eastAsia="宋体" w:cs="宋体"/>
          <w:sz w:val="24"/>
          <w:szCs w:val="24"/>
        </w:rPr>
      </w:pPr>
      <w:bookmarkStart w:id="4" w:name="_Toc20978"/>
      <w:r>
        <w:rPr>
          <w:rFonts w:hint="eastAsia" w:ascii="宋体" w:hAnsi="宋体" w:eastAsia="宋体" w:cs="宋体"/>
          <w:sz w:val="24"/>
          <w:szCs w:val="24"/>
        </w:rPr>
        <w:t>第四条  合同价款及支付方式</w:t>
      </w:r>
      <w:bookmarkEnd w:id="4"/>
    </w:p>
    <w:p w14:paraId="60FE5A7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291E408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14:paraId="267B751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35FDCE3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55E103FA">
      <w:pPr>
        <w:pStyle w:val="3"/>
        <w:rPr>
          <w:rFonts w:hint="eastAsia" w:ascii="宋体" w:hAnsi="宋体" w:eastAsia="宋体" w:cs="宋体"/>
          <w:sz w:val="24"/>
          <w:szCs w:val="24"/>
        </w:rPr>
      </w:pPr>
      <w:bookmarkStart w:id="5" w:name="_Toc11055"/>
      <w:r>
        <w:rPr>
          <w:rFonts w:hint="eastAsia" w:ascii="宋体" w:hAnsi="宋体" w:eastAsia="宋体" w:cs="宋体"/>
          <w:sz w:val="24"/>
          <w:szCs w:val="24"/>
        </w:rPr>
        <w:t>第五条  验收标准及条件</w:t>
      </w:r>
      <w:bookmarkEnd w:id="5"/>
    </w:p>
    <w:p w14:paraId="285D7F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14:paraId="3A1B060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14:paraId="2A7311D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14:paraId="7655965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0D7889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14:paraId="377D67A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08B00A4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0C965F51">
      <w:pPr>
        <w:spacing w:line="560" w:lineRule="exact"/>
        <w:ind w:firstLine="480" w:firstLineChars="200"/>
        <w:jc w:val="both"/>
        <w:rPr>
          <w:rFonts w:hint="eastAsia" w:ascii="宋体" w:hAnsi="宋体" w:eastAsia="宋体" w:cs="宋体"/>
          <w:sz w:val="24"/>
          <w:szCs w:val="24"/>
        </w:rPr>
      </w:pPr>
    </w:p>
    <w:p w14:paraId="38F4AACE">
      <w:pPr>
        <w:spacing w:line="560" w:lineRule="exact"/>
        <w:ind w:firstLine="480" w:firstLineChars="200"/>
        <w:jc w:val="both"/>
        <w:rPr>
          <w:rFonts w:hint="eastAsia" w:ascii="宋体" w:hAnsi="宋体" w:eastAsia="宋体" w:cs="宋体"/>
          <w:sz w:val="24"/>
          <w:szCs w:val="24"/>
        </w:rPr>
      </w:pPr>
    </w:p>
    <w:p w14:paraId="1339ADC9">
      <w:pPr>
        <w:pStyle w:val="3"/>
        <w:rPr>
          <w:rFonts w:hint="eastAsia" w:ascii="宋体" w:hAnsi="宋体" w:eastAsia="宋体" w:cs="宋体"/>
          <w:sz w:val="24"/>
          <w:szCs w:val="24"/>
        </w:rPr>
      </w:pPr>
      <w:bookmarkStart w:id="6" w:name="_Toc29660"/>
      <w:r>
        <w:rPr>
          <w:rFonts w:hint="eastAsia" w:ascii="宋体" w:hAnsi="宋体" w:eastAsia="宋体" w:cs="宋体"/>
          <w:sz w:val="24"/>
          <w:szCs w:val="24"/>
        </w:rPr>
        <w:t>第六条  知识产权（若有）</w:t>
      </w:r>
      <w:bookmarkEnd w:id="6"/>
    </w:p>
    <w:p w14:paraId="25D9B97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9FD63A3">
      <w:pPr>
        <w:pStyle w:val="3"/>
        <w:rPr>
          <w:rFonts w:hint="eastAsia" w:ascii="宋体" w:hAnsi="宋体" w:eastAsia="宋体" w:cs="宋体"/>
          <w:sz w:val="24"/>
          <w:szCs w:val="24"/>
        </w:rPr>
      </w:pPr>
      <w:bookmarkStart w:id="7" w:name="_Toc24850"/>
      <w:r>
        <w:rPr>
          <w:rFonts w:hint="eastAsia" w:ascii="宋体" w:hAnsi="宋体" w:eastAsia="宋体" w:cs="宋体"/>
          <w:sz w:val="24"/>
          <w:szCs w:val="24"/>
        </w:rPr>
        <w:t>第七条  无产权瑕疵条款（若有）</w:t>
      </w:r>
      <w:bookmarkEnd w:id="7"/>
    </w:p>
    <w:p w14:paraId="476BF8C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47E7A159">
      <w:pPr>
        <w:pStyle w:val="3"/>
        <w:rPr>
          <w:rFonts w:hint="eastAsia" w:ascii="宋体" w:hAnsi="宋体" w:eastAsia="宋体" w:cs="宋体"/>
          <w:sz w:val="24"/>
          <w:szCs w:val="24"/>
        </w:rPr>
      </w:pPr>
      <w:bookmarkStart w:id="8" w:name="_Toc13929"/>
      <w:r>
        <w:rPr>
          <w:rFonts w:hint="eastAsia" w:ascii="宋体" w:hAnsi="宋体" w:eastAsia="宋体" w:cs="宋体"/>
          <w:sz w:val="24"/>
          <w:szCs w:val="24"/>
        </w:rPr>
        <w:t>第八条  履约保证金（若有）</w:t>
      </w:r>
      <w:bookmarkEnd w:id="8"/>
    </w:p>
    <w:p w14:paraId="363643B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410EFD7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F3842B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5259699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3BEA4F1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0E1F7143">
      <w:pPr>
        <w:pStyle w:val="3"/>
        <w:rPr>
          <w:rFonts w:hint="eastAsia" w:ascii="宋体" w:hAnsi="宋体" w:eastAsia="宋体" w:cs="宋体"/>
          <w:sz w:val="24"/>
          <w:szCs w:val="24"/>
        </w:rPr>
      </w:pPr>
      <w:bookmarkStart w:id="9" w:name="_Toc18281"/>
      <w:r>
        <w:rPr>
          <w:rFonts w:hint="eastAsia" w:ascii="宋体" w:hAnsi="宋体" w:eastAsia="宋体" w:cs="宋体"/>
          <w:sz w:val="24"/>
          <w:szCs w:val="24"/>
        </w:rPr>
        <w:t>第九条  双方的权利和义务</w:t>
      </w:r>
      <w:bookmarkEnd w:id="9"/>
    </w:p>
    <w:p w14:paraId="37199AEF">
      <w:pPr>
        <w:pStyle w:val="10"/>
        <w:spacing w:before="210" w:after="210"/>
        <w:ind w:firstLine="640"/>
        <w:rPr>
          <w:rFonts w:hint="eastAsia" w:ascii="宋体" w:hAnsi="宋体" w:eastAsia="宋体" w:cs="宋体"/>
          <w:sz w:val="24"/>
          <w:szCs w:val="24"/>
        </w:rPr>
      </w:pPr>
      <w:bookmarkStart w:id="10" w:name="_Toc27022"/>
      <w:r>
        <w:rPr>
          <w:rFonts w:hint="eastAsia" w:ascii="宋体" w:hAnsi="宋体" w:eastAsia="宋体" w:cs="宋体"/>
          <w:sz w:val="24"/>
          <w:szCs w:val="24"/>
        </w:rPr>
        <w:t>（一）甲方的权利和义务</w:t>
      </w:r>
      <w:bookmarkEnd w:id="10"/>
    </w:p>
    <w:p w14:paraId="28C34CE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3C4C350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093B20E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674E23C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A45B8E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03D46C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18719D30">
      <w:pPr>
        <w:pStyle w:val="10"/>
        <w:spacing w:before="210" w:after="210"/>
        <w:ind w:firstLine="640"/>
        <w:rPr>
          <w:rFonts w:hint="eastAsia" w:ascii="宋体" w:hAnsi="宋体" w:eastAsia="宋体" w:cs="宋体"/>
          <w:sz w:val="24"/>
          <w:szCs w:val="24"/>
        </w:rPr>
      </w:pPr>
      <w:bookmarkStart w:id="11" w:name="_Toc11045"/>
      <w:r>
        <w:rPr>
          <w:rFonts w:hint="eastAsia" w:ascii="宋体" w:hAnsi="宋体" w:eastAsia="宋体" w:cs="宋体"/>
          <w:sz w:val="24"/>
          <w:szCs w:val="24"/>
        </w:rPr>
        <w:t>（二）乙方的权利和义务</w:t>
      </w:r>
      <w:bookmarkEnd w:id="11"/>
    </w:p>
    <w:p w14:paraId="33D54A8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0D50DCC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0EDB74D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9D5F4E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1CB993A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1A5AB236">
      <w:pPr>
        <w:pStyle w:val="3"/>
        <w:rPr>
          <w:rFonts w:hint="eastAsia" w:ascii="宋体" w:hAnsi="宋体" w:eastAsia="宋体" w:cs="宋体"/>
          <w:sz w:val="24"/>
          <w:szCs w:val="24"/>
        </w:rPr>
      </w:pPr>
      <w:bookmarkStart w:id="12" w:name="_Toc14331"/>
      <w:r>
        <w:rPr>
          <w:rFonts w:hint="eastAsia" w:ascii="宋体" w:hAnsi="宋体" w:eastAsia="宋体" w:cs="宋体"/>
          <w:sz w:val="24"/>
          <w:szCs w:val="24"/>
        </w:rPr>
        <w:t>第十条  违约责任</w:t>
      </w:r>
      <w:bookmarkEnd w:id="12"/>
    </w:p>
    <w:p w14:paraId="6EE185D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169C6B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3EBF958">
      <w:pPr>
        <w:pStyle w:val="3"/>
        <w:rPr>
          <w:rFonts w:hint="eastAsia" w:ascii="宋体" w:hAnsi="宋体" w:eastAsia="宋体" w:cs="宋体"/>
          <w:sz w:val="24"/>
          <w:szCs w:val="24"/>
        </w:rPr>
      </w:pPr>
      <w:bookmarkStart w:id="13" w:name="_Toc32662"/>
      <w:r>
        <w:rPr>
          <w:rFonts w:hint="eastAsia" w:ascii="宋体" w:hAnsi="宋体" w:eastAsia="宋体" w:cs="宋体"/>
          <w:sz w:val="24"/>
          <w:szCs w:val="24"/>
        </w:rPr>
        <w:t>第十一条  不可抗力事件处理</w:t>
      </w:r>
      <w:bookmarkEnd w:id="13"/>
    </w:p>
    <w:p w14:paraId="00AD069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7D96892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4E8F43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4E868C65">
      <w:pPr>
        <w:pStyle w:val="3"/>
        <w:rPr>
          <w:rFonts w:hint="eastAsia" w:ascii="宋体" w:hAnsi="宋体" w:eastAsia="宋体" w:cs="宋体"/>
          <w:sz w:val="24"/>
          <w:szCs w:val="24"/>
        </w:rPr>
      </w:pPr>
      <w:bookmarkStart w:id="14" w:name="_Toc30114"/>
      <w:r>
        <w:rPr>
          <w:rFonts w:hint="eastAsia" w:ascii="宋体" w:hAnsi="宋体" w:eastAsia="宋体" w:cs="宋体"/>
          <w:sz w:val="24"/>
          <w:szCs w:val="24"/>
        </w:rPr>
        <w:t>第十二条  合同的变更和终止</w:t>
      </w:r>
      <w:bookmarkEnd w:id="14"/>
    </w:p>
    <w:p w14:paraId="19760A0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78AA3240">
      <w:pPr>
        <w:pStyle w:val="3"/>
        <w:rPr>
          <w:rFonts w:hint="eastAsia" w:ascii="宋体" w:hAnsi="宋体" w:eastAsia="宋体" w:cs="宋体"/>
          <w:sz w:val="24"/>
          <w:szCs w:val="24"/>
        </w:rPr>
      </w:pPr>
      <w:bookmarkStart w:id="15" w:name="_Toc10073"/>
      <w:r>
        <w:rPr>
          <w:rFonts w:hint="eastAsia" w:ascii="宋体" w:hAnsi="宋体" w:eastAsia="宋体" w:cs="宋体"/>
          <w:sz w:val="24"/>
          <w:szCs w:val="24"/>
        </w:rPr>
        <w:t>第十三条  解决合同纠纷的方式</w:t>
      </w:r>
      <w:bookmarkEnd w:id="15"/>
    </w:p>
    <w:p w14:paraId="271AB04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56C7004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0C83A13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77AEEBD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47FAEBF8">
      <w:pPr>
        <w:pStyle w:val="3"/>
        <w:rPr>
          <w:rFonts w:hint="eastAsia" w:ascii="宋体" w:hAnsi="宋体" w:eastAsia="宋体" w:cs="宋体"/>
          <w:sz w:val="24"/>
          <w:szCs w:val="24"/>
        </w:rPr>
      </w:pPr>
      <w:bookmarkStart w:id="16" w:name="_Toc10063"/>
      <w:r>
        <w:rPr>
          <w:rFonts w:hint="eastAsia" w:ascii="宋体" w:hAnsi="宋体" w:eastAsia="宋体" w:cs="宋体"/>
          <w:sz w:val="24"/>
          <w:szCs w:val="24"/>
        </w:rPr>
        <w:t>第十四条  合同生效及其他</w:t>
      </w:r>
      <w:bookmarkEnd w:id="16"/>
    </w:p>
    <w:p w14:paraId="1B19A2D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1817C76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63B55E5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4F1A4434">
      <w:pPr>
        <w:pStyle w:val="3"/>
        <w:rPr>
          <w:rFonts w:hint="eastAsia" w:ascii="宋体" w:hAnsi="宋体" w:eastAsia="宋体" w:cs="宋体"/>
          <w:sz w:val="24"/>
          <w:szCs w:val="24"/>
        </w:rPr>
      </w:pPr>
      <w:bookmarkStart w:id="17" w:name="_Toc13835"/>
      <w:r>
        <w:rPr>
          <w:rFonts w:hint="eastAsia" w:ascii="宋体" w:hAnsi="宋体" w:eastAsia="宋体" w:cs="宋体"/>
          <w:sz w:val="24"/>
          <w:szCs w:val="24"/>
        </w:rPr>
        <w:t>第十五条  附件</w:t>
      </w:r>
      <w:bookmarkEnd w:id="17"/>
    </w:p>
    <w:p w14:paraId="76EEF4D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06FAAC7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266341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34AB43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14:paraId="4462243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14:paraId="654DE70F">
      <w:pPr>
        <w:spacing w:line="560" w:lineRule="exact"/>
        <w:ind w:firstLine="480" w:firstLineChars="200"/>
        <w:jc w:val="both"/>
        <w:rPr>
          <w:rFonts w:hint="eastAsia" w:ascii="宋体" w:hAnsi="宋体" w:eastAsia="宋体" w:cs="宋体"/>
          <w:sz w:val="24"/>
          <w:szCs w:val="24"/>
        </w:rPr>
      </w:pPr>
    </w:p>
    <w:p w14:paraId="63CDF6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tbl>
      <w:tblPr>
        <w:tblStyle w:val="7"/>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619D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883D463">
            <w:pPr>
              <w:jc w:val="center"/>
              <w:rPr>
                <w:rFonts w:hint="eastAsia" w:ascii="宋体" w:hAnsi="宋体" w:eastAsia="宋体" w:cs="宋体"/>
                <w:sz w:val="24"/>
                <w:szCs w:val="24"/>
              </w:rPr>
            </w:pPr>
            <w:r>
              <w:rPr>
                <w:rFonts w:hint="eastAsia" w:ascii="宋体" w:hAnsi="宋体" w:eastAsia="宋体" w:cs="宋体"/>
                <w:sz w:val="24"/>
                <w:szCs w:val="24"/>
              </w:rPr>
              <w:t>甲方</w:t>
            </w:r>
          </w:p>
          <w:p w14:paraId="0444B9AB">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3ADE5E46">
            <w:pPr>
              <w:jc w:val="center"/>
              <w:rPr>
                <w:rFonts w:hint="eastAsia" w:ascii="宋体" w:hAnsi="宋体" w:eastAsia="宋体" w:cs="宋体"/>
                <w:sz w:val="24"/>
                <w:szCs w:val="24"/>
              </w:rPr>
            </w:pPr>
          </w:p>
        </w:tc>
        <w:tc>
          <w:tcPr>
            <w:tcW w:w="1644" w:type="dxa"/>
            <w:vAlign w:val="center"/>
          </w:tcPr>
          <w:p w14:paraId="65407774">
            <w:pPr>
              <w:jc w:val="center"/>
              <w:rPr>
                <w:rFonts w:hint="eastAsia" w:ascii="宋体" w:hAnsi="宋体" w:eastAsia="宋体" w:cs="宋体"/>
                <w:sz w:val="24"/>
                <w:szCs w:val="24"/>
              </w:rPr>
            </w:pPr>
            <w:r>
              <w:rPr>
                <w:rFonts w:hint="eastAsia" w:ascii="宋体" w:hAnsi="宋体" w:eastAsia="宋体" w:cs="宋体"/>
                <w:sz w:val="24"/>
                <w:szCs w:val="24"/>
              </w:rPr>
              <w:t>乙方</w:t>
            </w:r>
          </w:p>
          <w:p w14:paraId="0E6DDF51">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188DC45B">
            <w:pPr>
              <w:jc w:val="center"/>
              <w:rPr>
                <w:rFonts w:hint="eastAsia" w:ascii="宋体" w:hAnsi="宋体" w:eastAsia="宋体" w:cs="宋体"/>
                <w:sz w:val="24"/>
                <w:szCs w:val="24"/>
              </w:rPr>
            </w:pPr>
          </w:p>
        </w:tc>
      </w:tr>
      <w:tr w14:paraId="1A89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AAF45FA">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3051619D">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06E44D51">
            <w:pPr>
              <w:jc w:val="center"/>
              <w:rPr>
                <w:rFonts w:hint="eastAsia" w:ascii="宋体" w:hAnsi="宋体" w:eastAsia="宋体" w:cs="宋体"/>
                <w:sz w:val="24"/>
                <w:szCs w:val="24"/>
              </w:rPr>
            </w:pPr>
          </w:p>
        </w:tc>
        <w:tc>
          <w:tcPr>
            <w:tcW w:w="1644" w:type="dxa"/>
            <w:vAlign w:val="center"/>
          </w:tcPr>
          <w:p w14:paraId="0BDA0628">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67915FBC">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76B242FF">
            <w:pPr>
              <w:jc w:val="center"/>
              <w:rPr>
                <w:rFonts w:hint="eastAsia" w:ascii="宋体" w:hAnsi="宋体" w:eastAsia="宋体" w:cs="宋体"/>
                <w:sz w:val="24"/>
                <w:szCs w:val="24"/>
              </w:rPr>
            </w:pPr>
          </w:p>
        </w:tc>
      </w:tr>
      <w:tr w14:paraId="1578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ACAA8C6">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004F117F">
            <w:pPr>
              <w:jc w:val="center"/>
              <w:rPr>
                <w:rFonts w:hint="eastAsia" w:ascii="宋体" w:hAnsi="宋体" w:eastAsia="宋体" w:cs="宋体"/>
                <w:sz w:val="24"/>
                <w:szCs w:val="24"/>
              </w:rPr>
            </w:pPr>
          </w:p>
        </w:tc>
        <w:tc>
          <w:tcPr>
            <w:tcW w:w="1644" w:type="dxa"/>
            <w:vAlign w:val="center"/>
          </w:tcPr>
          <w:p w14:paraId="5364107C">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6E88124E">
            <w:pPr>
              <w:jc w:val="center"/>
              <w:rPr>
                <w:rFonts w:hint="eastAsia" w:ascii="宋体" w:hAnsi="宋体" w:eastAsia="宋体" w:cs="宋体"/>
                <w:sz w:val="24"/>
                <w:szCs w:val="24"/>
              </w:rPr>
            </w:pPr>
          </w:p>
        </w:tc>
      </w:tr>
      <w:tr w14:paraId="1AADC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F70493D">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0544B139">
            <w:pPr>
              <w:jc w:val="center"/>
              <w:rPr>
                <w:rFonts w:hint="eastAsia" w:ascii="宋体" w:hAnsi="宋体" w:eastAsia="宋体" w:cs="宋体"/>
                <w:sz w:val="24"/>
                <w:szCs w:val="24"/>
              </w:rPr>
            </w:pPr>
          </w:p>
        </w:tc>
        <w:tc>
          <w:tcPr>
            <w:tcW w:w="1644" w:type="dxa"/>
            <w:vAlign w:val="center"/>
          </w:tcPr>
          <w:p w14:paraId="1377610D">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1E795AC1">
            <w:pPr>
              <w:jc w:val="center"/>
              <w:rPr>
                <w:rFonts w:hint="eastAsia" w:ascii="宋体" w:hAnsi="宋体" w:eastAsia="宋体" w:cs="宋体"/>
                <w:sz w:val="24"/>
                <w:szCs w:val="24"/>
              </w:rPr>
            </w:pPr>
          </w:p>
        </w:tc>
      </w:tr>
      <w:tr w14:paraId="634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77BD7E3">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597DD5A0">
            <w:pPr>
              <w:jc w:val="center"/>
              <w:rPr>
                <w:rFonts w:hint="eastAsia" w:ascii="宋体" w:hAnsi="宋体" w:eastAsia="宋体" w:cs="宋体"/>
                <w:sz w:val="24"/>
                <w:szCs w:val="24"/>
              </w:rPr>
            </w:pPr>
          </w:p>
        </w:tc>
        <w:tc>
          <w:tcPr>
            <w:tcW w:w="1644" w:type="dxa"/>
            <w:vAlign w:val="center"/>
          </w:tcPr>
          <w:p w14:paraId="1E77B732">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6F7DB49A">
            <w:pPr>
              <w:jc w:val="center"/>
              <w:rPr>
                <w:rFonts w:hint="eastAsia" w:ascii="宋体" w:hAnsi="宋体" w:eastAsia="宋体" w:cs="宋体"/>
                <w:sz w:val="24"/>
                <w:szCs w:val="24"/>
              </w:rPr>
            </w:pPr>
          </w:p>
        </w:tc>
      </w:tr>
      <w:tr w14:paraId="5BA21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F8A0BF8">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39FB2AEB">
            <w:pPr>
              <w:jc w:val="center"/>
              <w:rPr>
                <w:rFonts w:hint="eastAsia" w:ascii="宋体" w:hAnsi="宋体" w:eastAsia="宋体" w:cs="宋体"/>
                <w:sz w:val="24"/>
                <w:szCs w:val="24"/>
              </w:rPr>
            </w:pPr>
          </w:p>
        </w:tc>
        <w:tc>
          <w:tcPr>
            <w:tcW w:w="1644" w:type="dxa"/>
            <w:vAlign w:val="center"/>
          </w:tcPr>
          <w:p w14:paraId="2A96E0D9">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2D8A1AF9">
            <w:pPr>
              <w:jc w:val="center"/>
              <w:rPr>
                <w:rFonts w:hint="eastAsia" w:ascii="宋体" w:hAnsi="宋体" w:eastAsia="宋体" w:cs="宋体"/>
                <w:sz w:val="24"/>
                <w:szCs w:val="24"/>
              </w:rPr>
            </w:pPr>
          </w:p>
        </w:tc>
      </w:tr>
      <w:tr w14:paraId="45CDB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7057038">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5A0F391F">
            <w:pPr>
              <w:jc w:val="center"/>
              <w:rPr>
                <w:rFonts w:hint="eastAsia" w:ascii="宋体" w:hAnsi="宋体" w:eastAsia="宋体" w:cs="宋体"/>
                <w:sz w:val="24"/>
                <w:szCs w:val="24"/>
              </w:rPr>
            </w:pPr>
          </w:p>
        </w:tc>
        <w:tc>
          <w:tcPr>
            <w:tcW w:w="1644" w:type="dxa"/>
            <w:vAlign w:val="center"/>
          </w:tcPr>
          <w:p w14:paraId="2F286343">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72DCEA7C">
            <w:pPr>
              <w:jc w:val="center"/>
              <w:rPr>
                <w:rFonts w:hint="eastAsia" w:ascii="宋体" w:hAnsi="宋体" w:eastAsia="宋体" w:cs="宋体"/>
                <w:sz w:val="24"/>
                <w:szCs w:val="24"/>
              </w:rPr>
            </w:pPr>
          </w:p>
        </w:tc>
      </w:tr>
      <w:tr w14:paraId="25E73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CFC86C9">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4DAC99C9">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581954B5">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0E24B9FC">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259A56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创艺简仿宋">
    <w:altName w:val="仿宋"/>
    <w:panose1 w:val="00000000000000000000"/>
    <w:charset w:val="86"/>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ED533F"/>
    <w:rsid w:val="02ED5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pacing w:after="120" w:line="312" w:lineRule="atLeast"/>
      <w:textAlignment w:val="baseline"/>
    </w:pPr>
    <w:rPr>
      <w:rFonts w:eastAsia="创艺简仿宋"/>
      <w:kern w:val="0"/>
      <w:sz w:val="24"/>
      <w:szCs w:val="20"/>
      <w:u w:val="single"/>
    </w:rPr>
  </w:style>
  <w:style w:type="paragraph" w:styleId="4">
    <w:name w:val="Body Text Indent"/>
    <w:basedOn w:val="1"/>
    <w:qFormat/>
    <w:uiPriority w:val="0"/>
    <w:pPr>
      <w:ind w:firstLine="0" w:firstLineChars="0"/>
      <w:jc w:val="center"/>
    </w:pPr>
    <w:rPr>
      <w:sz w:val="28"/>
    </w:rPr>
  </w:style>
  <w:style w:type="paragraph" w:styleId="5">
    <w:name w:val="Body Text First Indent 2"/>
    <w:basedOn w:val="4"/>
    <w:qFormat/>
    <w:uiPriority w:val="0"/>
    <w:pPr>
      <w:ind w:firstLine="420" w:firstLineChars="200"/>
    </w:p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50" w:beforeLines="50" w:after="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2025-05-30T07:24:00Z</dcterms:created>
  <dc:creator>余白</dc:creator>
  <cp:lastModifiedBy>余白</cp:lastModifiedBy>
  <dcterms:modified xsi:type="dcterms:W3CDTF">2025-05-30T07:25:20Z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A064F04C6F9649128F66051C5B81900B_11</vt:lpwstr>
  </property>
  <property fmtid="{D5CDD505-2E9C-101B-9397-08002B2CF9AE}" pid="4" name="KSOTemplateDocerSaveRecord">
    <vt:lpwstr>eyJoZGlkIjoiNGU0ZDMzZDMwZjgxNmRjODVhMTdkYjdmY2FlYjk0MTEiLCJ1c2VySWQiOiIzNzYxMDc1OTkifQ==</vt:lpwstr>
  </property>
</Properties>
</file>