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版本号：HXZK2025ZC043000320250508001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ETC发行服务系统2025年度软件技术保障服务项目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HXZK2025ZC0430003</w:t>
      </w:r>
      <w:r>
        <w:br/>
      </w:r>
      <w:r>
        <w:br/>
      </w:r>
      <w:r>
        <w:br/>
      </w:r>
    </w:p>
    <w:p>
      <w:pPr>
        <w:pStyle w:val="null3"/>
        <w:jc w:val="center"/>
        <w:outlineLvl w:val="2"/>
      </w:pPr>
      <w:r>
        <w:rPr>
          <w:rFonts w:ascii="仿宋_GB2312" w:hAnsi="仿宋_GB2312" w:cs="仿宋_GB2312" w:eastAsia="仿宋_GB2312"/>
          <w:sz w:val="28"/>
          <w:b/>
        </w:rPr>
        <w:t>陕西省高速公路收费中心</w:t>
      </w:r>
    </w:p>
    <w:p>
      <w:pPr>
        <w:pStyle w:val="null3"/>
        <w:jc w:val="center"/>
        <w:outlineLvl w:val="2"/>
      </w:pPr>
      <w:r>
        <w:rPr>
          <w:rFonts w:ascii="仿宋_GB2312" w:hAnsi="仿宋_GB2312" w:cs="仿宋_GB2312" w:eastAsia="仿宋_GB2312"/>
          <w:sz w:val="28"/>
          <w:b/>
        </w:rPr>
        <w:t>华夏正康工程技术有限公司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2025年05月08日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华夏正康工程技术有限公司</w:t>
      </w:r>
      <w:r>
        <w:rPr>
          <w:rFonts w:ascii="仿宋_GB2312" w:hAnsi="仿宋_GB2312" w:cs="仿宋_GB2312" w:eastAsia="仿宋_GB2312"/>
        </w:rPr>
        <w:t>（以下简称“代理机构”）受</w:t>
      </w:r>
      <w:r>
        <w:rPr>
          <w:rFonts w:ascii="仿宋_GB2312" w:hAnsi="仿宋_GB2312" w:cs="仿宋_GB2312" w:eastAsia="仿宋_GB2312"/>
        </w:rPr>
        <w:t>陕西省高速公路收费中心</w:t>
      </w:r>
      <w:r>
        <w:rPr>
          <w:rFonts w:ascii="仿宋_GB2312" w:hAnsi="仿宋_GB2312" w:cs="仿宋_GB2312" w:eastAsia="仿宋_GB2312"/>
        </w:rPr>
        <w:t>委托，拟对</w:t>
      </w:r>
      <w:r>
        <w:rPr>
          <w:rFonts w:ascii="仿宋_GB2312" w:hAnsi="仿宋_GB2312" w:cs="仿宋_GB2312" w:eastAsia="仿宋_GB2312"/>
        </w:rPr>
        <w:t>ETC发行服务系统2025年度软件技术保障服务项目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HXZK2025ZC0430003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ETC发行服务系统2025年度软件技术保障服务项目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陕西省高速公路ETC发行服务系统于2015年全国高速公路电子不停车收费联网工程（陕西段）建设完成，期间经过营改增、取消省界收费站等重大升级与改造。该系统承载我省的ETC发行售后、数据汇聚、业务管理、清分结算、线上服务、运行监管、信息交互等核业务，满足ETC联网发行、清分结算、客户服务等管理要求。</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1、营业执照或其他组织：具有独立承担民事责任能力的法人、其他组织或自然人，提供营业执照/事业单位法人证书/非企业专业服务机构执业许可证/自然人身份证。 供应商需在项目电子化交易系统中按要求上传相应证明文件并进行电子签章。</w:t>
      </w:r>
    </w:p>
    <w:p>
      <w:pPr>
        <w:pStyle w:val="null3"/>
      </w:pPr>
      <w:r>
        <w:rPr>
          <w:rFonts w:ascii="仿宋_GB2312" w:hAnsi="仿宋_GB2312" w:cs="仿宋_GB2312" w:eastAsia="仿宋_GB2312"/>
        </w:rPr>
        <w:t>2、供应商应授权合法的人员参加磋商全过程：法定代表人直接参加的，提供法定代表人证明及其身份证； 授权代表参加的，提供法定代表人授权书（附法定 代表人及授权代表身份证）；非法人单位参照执行。供应商需在项目电子化交易系统中按要求上传相应证明文件并进行电子签章。</w:t>
      </w:r>
    </w:p>
    <w:p>
      <w:pPr>
        <w:pStyle w:val="null3"/>
      </w:pPr>
      <w:r>
        <w:rPr>
          <w:rFonts w:ascii="仿宋_GB2312" w:hAnsi="仿宋_GB2312" w:cs="仿宋_GB2312" w:eastAsia="仿宋_GB2312"/>
        </w:rPr>
        <w:t>3、财务状况：提供 2023 年度或 2024 年度经审计的财务报告(包括审计报告、资产负债表、利润表、现金流量表、所有者权益变动表及其附注等，成立时间至提交响应文件截止时间不足一年的可提供成立后任意时段的资产负债表)，或其响应文件提交截止时间前六个月内银行出具的资信证明，或信用担保机构出具的投标担保函(以上三种形式的资料提供任何一种即可)。 供应商需在项目电子化交易系统中按要求上传相应证明文件并进行电子签章。</w:t>
      </w:r>
    </w:p>
    <w:p>
      <w:pPr>
        <w:pStyle w:val="null3"/>
      </w:pPr>
      <w:r>
        <w:rPr>
          <w:rFonts w:ascii="仿宋_GB2312" w:hAnsi="仿宋_GB2312" w:cs="仿宋_GB2312" w:eastAsia="仿宋_GB2312"/>
        </w:rPr>
        <w:t>4、依法缴纳税收证明资料：提供响应文件提交截止时间前一年内至少一个月已缴纳的纳税证明或完税证明(时间以税款所属日期为准)，依法免税的单位应提供相关证明材料，凭据应有税务机关或代收机关的公章或业务专用章；依法免税或无须缴纳税收的供应商，应提供相应证明文件。 供应商需在项目电子化交易系统中按要求上传相应证明文件并进行电子签章。</w:t>
      </w:r>
    </w:p>
    <w:p>
      <w:pPr>
        <w:pStyle w:val="null3"/>
      </w:pPr>
      <w:r>
        <w:rPr>
          <w:rFonts w:ascii="仿宋_GB2312" w:hAnsi="仿宋_GB2312" w:cs="仿宋_GB2312" w:eastAsia="仿宋_GB2312"/>
        </w:rPr>
        <w:t>5、依法缴纳社会保险证明资料：提供响应文件提交截止时间前一年内至少一个月已缴纳的社会保障资金缴存单据或社保机构开具的社会保险参保缴费情况证明，依法不需要缴纳社会保障资金的单位应提供相关证明材料。 供应商需在项目电子化交易系统中按要求上传相应证明文件并进行电子签章。</w:t>
      </w:r>
    </w:p>
    <w:p>
      <w:pPr>
        <w:pStyle w:val="null3"/>
      </w:pPr>
      <w:r>
        <w:rPr>
          <w:rFonts w:ascii="仿宋_GB2312" w:hAnsi="仿宋_GB2312" w:cs="仿宋_GB2312" w:eastAsia="仿宋_GB2312"/>
        </w:rPr>
        <w:t>6、书面声明：提供参加政府采购活动前三年内在经营活动中没有重大违法记录的书面声明。 供应商需在项目电子化交易系统中按要求上传相应证明文件并进行电子签章。</w:t>
      </w:r>
    </w:p>
    <w:p>
      <w:pPr>
        <w:pStyle w:val="null3"/>
      </w:pPr>
      <w:r>
        <w:rPr>
          <w:rFonts w:ascii="仿宋_GB2312" w:hAnsi="仿宋_GB2312" w:cs="仿宋_GB2312" w:eastAsia="仿宋_GB2312"/>
        </w:rPr>
        <w:t>7、承诺书：提供具有履行合同所必需的设备和专业技术能力的承诺。 供应商需在项目电子化交易系统中按要求上传相应证明文件并进行电子签章。</w:t>
      </w:r>
    </w:p>
    <w:p>
      <w:pPr>
        <w:pStyle w:val="null3"/>
      </w:pPr>
      <w:r>
        <w:rPr>
          <w:rFonts w:ascii="仿宋_GB2312" w:hAnsi="仿宋_GB2312" w:cs="仿宋_GB2312" w:eastAsia="仿宋_GB2312"/>
        </w:rPr>
        <w:t>8、控股管理关系：单位负责人为同一人或者存在直接控股、管理关系的不同供应商，不得参加同一合同项下的政府采购活动。 供应商需在项目电子化交易系统中按要求上传相应证明文件并进行电子签章。</w:t>
      </w:r>
    </w:p>
    <w:p>
      <w:pPr>
        <w:pStyle w:val="null3"/>
      </w:pPr>
      <w:r>
        <w:rPr>
          <w:rFonts w:ascii="仿宋_GB2312" w:hAnsi="仿宋_GB2312" w:cs="仿宋_GB2312" w:eastAsia="仿宋_GB2312"/>
        </w:rPr>
        <w:t>9、非联合体磋商：本采购包不接受联合体磋商，供应商提供非联合体磋商承诺书。 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陕西省高速公路收费中心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陕西省西安市未央区未央路208号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梅老师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029-86531101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华夏正康工程技术有限公司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陕西省西安市新城区幸福北路紫铭小区-北区西门三楼310室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薛淑丹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17791951522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采购包1：948,800.00元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开户名称：华夏正康工程技术有限公司</w:t>
            </w:r>
          </w:p>
          <w:p>
            <w:pPr>
              <w:pStyle w:val="null3"/>
            </w:pPr>
            <w:r>
              <w:rPr>
                <w:rFonts w:ascii="仿宋_GB2312" w:hAnsi="仿宋_GB2312" w:cs="仿宋_GB2312" w:eastAsia="仿宋_GB2312"/>
              </w:rPr>
              <w:t>开户银行：中国建设银行股份有限公司西安兴庆路支行</w:t>
            </w:r>
          </w:p>
          <w:p>
            <w:pPr>
              <w:pStyle w:val="null3"/>
            </w:pPr>
            <w:r>
              <w:rPr>
                <w:rFonts w:ascii="仿宋_GB2312" w:hAnsi="仿宋_GB2312" w:cs="仿宋_GB2312" w:eastAsia="仿宋_GB2312"/>
              </w:rPr>
              <w:t>银行账号：61050173001200002515</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代理服务费收费标准：参照国家计委《招标代理机构收费管理暂行办法》（计价格[2002]1980 号）和《国家发展和改革委员会办公厅关于招标代理服务收费有关问题的通知》（发改办价〔2003〕857 号）文件规定的收费标准的89%向中标（成交）供应商收取代理服务费。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陕西省高速公路收费中心</w:t>
      </w:r>
      <w:r>
        <w:rPr>
          <w:rFonts w:ascii="仿宋_GB2312" w:hAnsi="仿宋_GB2312" w:cs="仿宋_GB2312" w:eastAsia="仿宋_GB2312"/>
        </w:rPr>
        <w:t>和</w:t>
      </w:r>
      <w:r>
        <w:rPr>
          <w:rFonts w:ascii="仿宋_GB2312" w:hAnsi="仿宋_GB2312" w:cs="仿宋_GB2312" w:eastAsia="仿宋_GB2312"/>
        </w:rPr>
        <w:t>华夏正康工程技术有限公司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陕西省高速公路收费中心</w:t>
      </w:r>
      <w:r>
        <w:rPr>
          <w:rFonts w:ascii="仿宋_GB2312" w:hAnsi="仿宋_GB2312" w:cs="仿宋_GB2312" w:eastAsia="仿宋_GB2312"/>
        </w:rPr>
        <w:t>负责解释。除上述磋商文件内容，其他内容由</w:t>
      </w:r>
      <w:r>
        <w:rPr>
          <w:rFonts w:ascii="仿宋_GB2312" w:hAnsi="仿宋_GB2312" w:cs="仿宋_GB2312" w:eastAsia="仿宋_GB2312"/>
        </w:rPr>
        <w:t>华夏正康工程技术有限公司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陕西省高速公路收费中心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华夏正康工程技术有限公司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根据合同文本、竞争性磋商文件和竞争性磋商响应文件执行。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华夏正康工程技术有限公司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华夏正康工程技术有限公司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华夏正康工程技术有限公司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联系人：薛淑丹</w:t>
      </w:r>
    </w:p>
    <w:p>
      <w:pPr>
        <w:pStyle w:val="null3"/>
      </w:pPr>
      <w:r>
        <w:rPr>
          <w:rFonts w:ascii="仿宋_GB2312" w:hAnsi="仿宋_GB2312" w:cs="仿宋_GB2312" w:eastAsia="仿宋_GB2312"/>
        </w:rPr>
        <w:t>联系电话：17791951522</w:t>
      </w:r>
    </w:p>
    <w:p>
      <w:pPr>
        <w:pStyle w:val="null3"/>
      </w:pPr>
      <w:r>
        <w:rPr>
          <w:rFonts w:ascii="仿宋_GB2312" w:hAnsi="仿宋_GB2312" w:cs="仿宋_GB2312" w:eastAsia="仿宋_GB2312"/>
        </w:rPr>
        <w:t>地址：陕西省西安市新城区幸福北路紫铭小区-北区西门三楼310室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陕西省高速公路 ETC 发行服务系统于 2015 年全国高速公路电子不停车收费联网工程（陕西段） 建设完成，期间经过营改增、取消省界收费站等重大升级与改造。该系统承载我省的 ETC 发行售后、 数据汇聚、业务管理、清分结算、线上服务、运行监管、信息交互等核业务，满足 ETC 联网发行、清分结算、客户服务等管理要求。</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948,800.00</w:t>
      </w:r>
    </w:p>
    <w:p>
      <w:pPr>
        <w:pStyle w:val="null3"/>
      </w:pPr>
      <w:r>
        <w:rPr>
          <w:rFonts w:ascii="仿宋_GB2312" w:hAnsi="仿宋_GB2312" w:cs="仿宋_GB2312" w:eastAsia="仿宋_GB2312"/>
        </w:rPr>
        <w:t>采购包最高限价（元）: 948,800.00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ETC发行服务系统2025年度软件技术保障服务项目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948,800.00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标的名称：ETC发行服务系统2025年度软件技术保障服务项目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left="405"/>
            </w:pPr>
            <w:r>
              <w:rPr>
                <w:rFonts w:ascii="仿宋_GB2312" w:hAnsi="仿宋_GB2312" w:cs="仿宋_GB2312" w:eastAsia="仿宋_GB2312"/>
              </w:rPr>
              <w:t>一、服务范围</w:t>
            </w:r>
          </w:p>
          <w:p>
            <w:pPr>
              <w:pStyle w:val="null3"/>
              <w:ind w:firstLine="400"/>
            </w:pPr>
            <w:r>
              <w:rPr>
                <w:rFonts w:ascii="仿宋_GB2312" w:hAnsi="仿宋_GB2312" w:cs="仿宋_GB2312" w:eastAsia="仿宋_GB2312"/>
              </w:rPr>
              <w:t>负责陕西省高速公路</w:t>
            </w:r>
            <w:r>
              <w:rPr>
                <w:rFonts w:ascii="仿宋_GB2312" w:hAnsi="仿宋_GB2312" w:cs="仿宋_GB2312" w:eastAsia="仿宋_GB2312"/>
              </w:rPr>
              <w:t>ETC发行服务系统相关应用软件（详见下表）日常运行维护、故障处置、缺陷修复、异常处理等服务。负责与部省中心、合作机构系统间的信息交互、数据传输、报表统计、异常处理、检测测试、业务培训、技术指导等服务。</w:t>
            </w:r>
          </w:p>
          <w:tbl>
            <w:tblPr>
              <w:tblInd w:type="dxa" w:w="105"/>
              <w:tblBorders>
                <w:top w:val="none" w:color="000000" w:sz="4"/>
                <w:left w:val="none" w:color="000000" w:sz="4"/>
                <w:bottom w:val="none" w:color="000000" w:sz="4"/>
                <w:right w:val="none" w:color="000000" w:sz="4"/>
                <w:insideH w:val="none"/>
                <w:insideV w:val="none"/>
              </w:tblBorders>
            </w:tblPr>
            <w:tblGrid>
              <w:gridCol w:w="298"/>
              <w:gridCol w:w="874"/>
              <w:gridCol w:w="1365"/>
            </w:tblGrid>
            <w:tr>
              <w:tc>
                <w:tcPr>
                  <w:tcW w:type="dxa" w:w="29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序号</w:t>
                  </w:r>
                </w:p>
              </w:tc>
              <w:tc>
                <w:tcPr>
                  <w:tcW w:type="dxa" w:w="87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类别</w:t>
                  </w:r>
                </w:p>
              </w:tc>
              <w:tc>
                <w:tcPr>
                  <w:tcW w:type="dxa" w:w="136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运维系统名称</w:t>
                  </w:r>
                </w:p>
              </w:tc>
            </w:tr>
            <w:tr>
              <w:tc>
                <w:tcPr>
                  <w:tcW w:type="dxa" w:w="298"/>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1</w:t>
                  </w:r>
                </w:p>
              </w:tc>
              <w:tc>
                <w:tcPr>
                  <w:tcW w:type="dxa" w:w="874"/>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ind w:left="105"/>
                    <w:jc w:val="left"/>
                  </w:pPr>
                  <w:r>
                    <w:rPr>
                      <w:rFonts w:ascii="仿宋_GB2312" w:hAnsi="仿宋_GB2312" w:cs="仿宋_GB2312" w:eastAsia="仿宋_GB2312"/>
                      <w:sz w:val="18"/>
                    </w:rPr>
                    <w:t>ETC发行服务系统</w:t>
                  </w:r>
                </w:p>
              </w:tc>
              <w:tc>
                <w:tcPr>
                  <w:tcW w:type="dxa" w:w="13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网点发行与服务接口平台</w:t>
                  </w:r>
                </w:p>
              </w:tc>
            </w:tr>
            <w:tr>
              <w:tc>
                <w:tcPr>
                  <w:tcW w:type="dxa" w:w="298"/>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center"/>
                  </w:pPr>
                </w:p>
              </w:tc>
              <w:tc>
                <w:tcPr>
                  <w:tcW w:type="dxa" w:w="874"/>
                  <w:tcBorders>
                    <w:top w:val="none" w:color="000000" w:sz="4"/>
                    <w:left w:val="single" w:color="000000" w:sz="4"/>
                    <w:bottom w:val="none" w:color="000000" w:sz="4"/>
                    <w:right w:val="single" w:color="000000" w:sz="4"/>
                  </w:tcBorders>
                  <w:tcMar>
                    <w:top w:type="dxa" w:w="0"/>
                    <w:left w:type="dxa" w:w="0"/>
                    <w:bottom w:type="dxa" w:w="0"/>
                    <w:right w:type="dxa" w:w="0"/>
                  </w:tcMar>
                  <w:vAlign w:val="top"/>
                </w:tcPr>
                <w:p/>
              </w:tc>
              <w:tc>
                <w:tcPr>
                  <w:tcW w:type="dxa" w:w="13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银行账务接口平台</w:t>
                  </w:r>
                </w:p>
              </w:tc>
            </w:tr>
            <w:tr>
              <w:tc>
                <w:tcPr>
                  <w:tcW w:type="dxa" w:w="298"/>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center"/>
                  </w:pPr>
                </w:p>
              </w:tc>
              <w:tc>
                <w:tcPr>
                  <w:tcW w:type="dxa" w:w="874"/>
                  <w:tcBorders>
                    <w:top w:val="none" w:color="000000" w:sz="4"/>
                    <w:left w:val="single" w:color="000000" w:sz="4"/>
                    <w:bottom w:val="none" w:color="000000" w:sz="4"/>
                    <w:right w:val="single" w:color="000000" w:sz="4"/>
                  </w:tcBorders>
                  <w:tcMar>
                    <w:top w:type="dxa" w:w="0"/>
                    <w:left w:type="dxa" w:w="0"/>
                    <w:bottom w:type="dxa" w:w="0"/>
                    <w:right w:type="dxa" w:w="0"/>
                  </w:tcMar>
                  <w:vAlign w:val="top"/>
                </w:tcPr>
                <w:p/>
              </w:tc>
              <w:tc>
                <w:tcPr>
                  <w:tcW w:type="dxa" w:w="13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分对分接口平台</w:t>
                  </w:r>
                </w:p>
              </w:tc>
            </w:tr>
            <w:tr>
              <w:tc>
                <w:tcPr>
                  <w:tcW w:type="dxa" w:w="298"/>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center"/>
                  </w:pPr>
                </w:p>
              </w:tc>
              <w:tc>
                <w:tcPr>
                  <w:tcW w:type="dxa" w:w="874"/>
                  <w:tcBorders>
                    <w:top w:val="none" w:color="000000" w:sz="4"/>
                    <w:left w:val="single" w:color="000000" w:sz="4"/>
                    <w:bottom w:val="none" w:color="000000" w:sz="4"/>
                    <w:right w:val="single" w:color="000000" w:sz="4"/>
                  </w:tcBorders>
                  <w:tcMar>
                    <w:top w:type="dxa" w:w="0"/>
                    <w:left w:type="dxa" w:w="0"/>
                    <w:bottom w:type="dxa" w:w="0"/>
                    <w:right w:type="dxa" w:w="0"/>
                  </w:tcMar>
                  <w:vAlign w:val="top"/>
                </w:tcPr>
                <w:p/>
              </w:tc>
              <w:tc>
                <w:tcPr>
                  <w:tcW w:type="dxa" w:w="13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公共服务平台</w:t>
                  </w:r>
                </w:p>
              </w:tc>
            </w:tr>
            <w:tr>
              <w:tc>
                <w:tcPr>
                  <w:tcW w:type="dxa" w:w="298"/>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center"/>
                  </w:pPr>
                </w:p>
              </w:tc>
              <w:tc>
                <w:tcPr>
                  <w:tcW w:type="dxa" w:w="874"/>
                  <w:tcBorders>
                    <w:top w:val="none" w:color="000000" w:sz="4"/>
                    <w:left w:val="single" w:color="000000" w:sz="4"/>
                    <w:bottom w:val="none" w:color="000000" w:sz="4"/>
                    <w:right w:val="single" w:color="000000" w:sz="4"/>
                  </w:tcBorders>
                  <w:tcMar>
                    <w:top w:type="dxa" w:w="0"/>
                    <w:left w:type="dxa" w:w="0"/>
                    <w:bottom w:type="dxa" w:w="0"/>
                    <w:right w:type="dxa" w:w="0"/>
                  </w:tcMar>
                  <w:vAlign w:val="top"/>
                </w:tcPr>
                <w:p/>
              </w:tc>
              <w:tc>
                <w:tcPr>
                  <w:tcW w:type="dxa" w:w="13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手持终端发行与服务系统</w:t>
                  </w:r>
                </w:p>
              </w:tc>
            </w:tr>
            <w:tr>
              <w:tc>
                <w:tcPr>
                  <w:tcW w:type="dxa" w:w="298"/>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center"/>
                  </w:pPr>
                </w:p>
              </w:tc>
              <w:tc>
                <w:tcPr>
                  <w:tcW w:type="dxa" w:w="874"/>
                  <w:tcBorders>
                    <w:top w:val="none" w:color="000000" w:sz="4"/>
                    <w:left w:val="single" w:color="000000" w:sz="4"/>
                    <w:bottom w:val="none" w:color="000000" w:sz="4"/>
                    <w:right w:val="single" w:color="000000" w:sz="4"/>
                  </w:tcBorders>
                  <w:tcMar>
                    <w:top w:type="dxa" w:w="0"/>
                    <w:left w:type="dxa" w:w="0"/>
                    <w:bottom w:type="dxa" w:w="0"/>
                    <w:right w:type="dxa" w:w="0"/>
                  </w:tcMar>
                  <w:vAlign w:val="top"/>
                </w:tcPr>
                <w:p/>
              </w:tc>
              <w:tc>
                <w:tcPr>
                  <w:tcW w:type="dxa" w:w="13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发行认证子系统</w:t>
                  </w:r>
                </w:p>
              </w:tc>
            </w:tr>
            <w:tr>
              <w:tc>
                <w:tcPr>
                  <w:tcW w:type="dxa" w:w="298"/>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center"/>
                  </w:pPr>
                </w:p>
              </w:tc>
              <w:tc>
                <w:tcPr>
                  <w:tcW w:type="dxa" w:w="874"/>
                  <w:tcBorders>
                    <w:top w:val="none" w:color="000000" w:sz="4"/>
                    <w:left w:val="single" w:color="000000" w:sz="4"/>
                    <w:bottom w:val="none" w:color="000000" w:sz="4"/>
                    <w:right w:val="single" w:color="000000" w:sz="4"/>
                  </w:tcBorders>
                  <w:tcMar>
                    <w:top w:type="dxa" w:w="0"/>
                    <w:left w:type="dxa" w:w="0"/>
                    <w:bottom w:type="dxa" w:w="0"/>
                    <w:right w:type="dxa" w:w="0"/>
                  </w:tcMar>
                  <w:vAlign w:val="top"/>
                </w:tcPr>
                <w:p/>
              </w:tc>
              <w:tc>
                <w:tcPr>
                  <w:tcW w:type="dxa" w:w="13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营改增子系统</w:t>
                  </w:r>
                </w:p>
              </w:tc>
            </w:tr>
            <w:tr>
              <w:tc>
                <w:tcPr>
                  <w:tcW w:type="dxa" w:w="298"/>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center"/>
                  </w:pPr>
                </w:p>
              </w:tc>
              <w:tc>
                <w:tcPr>
                  <w:tcW w:type="dxa" w:w="874"/>
                  <w:tcBorders>
                    <w:top w:val="none" w:color="000000" w:sz="4"/>
                    <w:left w:val="single" w:color="000000" w:sz="4"/>
                    <w:bottom w:val="none" w:color="000000" w:sz="4"/>
                    <w:right w:val="single" w:color="000000" w:sz="4"/>
                  </w:tcBorders>
                  <w:tcMar>
                    <w:top w:type="dxa" w:w="0"/>
                    <w:left w:type="dxa" w:w="0"/>
                    <w:bottom w:type="dxa" w:w="0"/>
                    <w:right w:type="dxa" w:w="0"/>
                  </w:tcMar>
                  <w:vAlign w:val="top"/>
                </w:tcPr>
                <w:p/>
              </w:tc>
              <w:tc>
                <w:tcPr>
                  <w:tcW w:type="dxa" w:w="13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客服中心子系统</w:t>
                  </w:r>
                </w:p>
              </w:tc>
            </w:tr>
            <w:tr>
              <w:tc>
                <w:tcPr>
                  <w:tcW w:type="dxa" w:w="298"/>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center"/>
                  </w:pPr>
                </w:p>
              </w:tc>
              <w:tc>
                <w:tcPr>
                  <w:tcW w:type="dxa" w:w="874"/>
                  <w:tcBorders>
                    <w:top w:val="none" w:color="000000" w:sz="4"/>
                    <w:left w:val="single" w:color="000000" w:sz="4"/>
                    <w:bottom w:val="none" w:color="000000" w:sz="4"/>
                    <w:right w:val="single" w:color="000000" w:sz="4"/>
                  </w:tcBorders>
                  <w:tcMar>
                    <w:top w:type="dxa" w:w="0"/>
                    <w:left w:type="dxa" w:w="0"/>
                    <w:bottom w:type="dxa" w:w="0"/>
                    <w:right w:type="dxa" w:w="0"/>
                  </w:tcMar>
                  <w:vAlign w:val="top"/>
                </w:tcPr>
                <w:p/>
              </w:tc>
              <w:tc>
                <w:tcPr>
                  <w:tcW w:type="dxa" w:w="13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运行监控子系统</w:t>
                  </w:r>
                </w:p>
              </w:tc>
            </w:tr>
            <w:tr>
              <w:tc>
                <w:tcPr>
                  <w:tcW w:type="dxa" w:w="2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8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3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用户管理子系统</w:t>
                  </w:r>
                </w:p>
              </w:tc>
            </w:tr>
            <w:tr>
              <w:tc>
                <w:tcPr>
                  <w:tcW w:type="dxa" w:w="298"/>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2</w:t>
                  </w:r>
                </w:p>
              </w:tc>
              <w:tc>
                <w:tcPr>
                  <w:tcW w:type="dxa" w:w="874"/>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ind w:left="105"/>
                    <w:jc w:val="left"/>
                  </w:pPr>
                  <w:r>
                    <w:rPr>
                      <w:rFonts w:ascii="仿宋_GB2312" w:hAnsi="仿宋_GB2312" w:cs="仿宋_GB2312" w:eastAsia="仿宋_GB2312"/>
                      <w:sz w:val="18"/>
                    </w:rPr>
                    <w:t>网厅及移动端系统</w:t>
                  </w:r>
                </w:p>
              </w:tc>
              <w:tc>
                <w:tcPr>
                  <w:tcW w:type="dxa" w:w="13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三秦通网厅及</w:t>
                  </w:r>
                  <w:r>
                    <w:rPr>
                      <w:rFonts w:ascii="仿宋_GB2312" w:hAnsi="仿宋_GB2312" w:cs="仿宋_GB2312" w:eastAsia="仿宋_GB2312"/>
                      <w:sz w:val="18"/>
                    </w:rPr>
                    <w:t>APP</w:t>
                  </w:r>
                </w:p>
              </w:tc>
            </w:tr>
            <w:tr>
              <w:tc>
                <w:tcPr>
                  <w:tcW w:type="dxa" w:w="2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8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3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三秦通微信小程序</w:t>
                  </w:r>
                </w:p>
              </w:tc>
            </w:tr>
            <w:tr>
              <w:tc>
                <w:tcPr>
                  <w:tcW w:type="dxa" w:w="298"/>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3</w:t>
                  </w:r>
                </w:p>
              </w:tc>
              <w:tc>
                <w:tcPr>
                  <w:tcW w:type="dxa" w:w="874"/>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ind w:left="105"/>
                    <w:jc w:val="left"/>
                  </w:pPr>
                  <w:r>
                    <w:rPr>
                      <w:rFonts w:ascii="仿宋_GB2312" w:hAnsi="仿宋_GB2312" w:cs="仿宋_GB2312" w:eastAsia="仿宋_GB2312"/>
                      <w:sz w:val="18"/>
                    </w:rPr>
                    <w:t>ETC结算系统</w:t>
                  </w:r>
                </w:p>
              </w:tc>
              <w:tc>
                <w:tcPr>
                  <w:tcW w:type="dxa" w:w="13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清分结算子系统</w:t>
                  </w:r>
                </w:p>
              </w:tc>
            </w:tr>
            <w:tr>
              <w:tc>
                <w:tcPr>
                  <w:tcW w:type="dxa" w:w="298"/>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center"/>
                  </w:pPr>
                </w:p>
              </w:tc>
              <w:tc>
                <w:tcPr>
                  <w:tcW w:type="dxa" w:w="874"/>
                  <w:tcBorders>
                    <w:top w:val="none" w:color="000000" w:sz="4"/>
                    <w:left w:val="single" w:color="000000" w:sz="4"/>
                    <w:bottom w:val="none" w:color="000000" w:sz="4"/>
                    <w:right w:val="single" w:color="000000" w:sz="4"/>
                  </w:tcBorders>
                  <w:tcMar>
                    <w:top w:type="dxa" w:w="0"/>
                    <w:left w:type="dxa" w:w="0"/>
                    <w:bottom w:type="dxa" w:w="0"/>
                    <w:right w:type="dxa" w:w="0"/>
                  </w:tcMar>
                  <w:vAlign w:val="top"/>
                </w:tcPr>
                <w:p/>
              </w:tc>
              <w:tc>
                <w:tcPr>
                  <w:tcW w:type="dxa" w:w="13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信息交互子系统</w:t>
                  </w:r>
                </w:p>
              </w:tc>
            </w:tr>
            <w:tr>
              <w:tc>
                <w:tcPr>
                  <w:tcW w:type="dxa" w:w="298"/>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center"/>
                  </w:pPr>
                </w:p>
              </w:tc>
              <w:tc>
                <w:tcPr>
                  <w:tcW w:type="dxa" w:w="874"/>
                  <w:tcBorders>
                    <w:top w:val="none" w:color="000000" w:sz="4"/>
                    <w:left w:val="single" w:color="000000" w:sz="4"/>
                    <w:bottom w:val="none" w:color="000000" w:sz="4"/>
                    <w:right w:val="single" w:color="000000" w:sz="4"/>
                  </w:tcBorders>
                  <w:tcMar>
                    <w:top w:type="dxa" w:w="0"/>
                    <w:left w:type="dxa" w:w="0"/>
                    <w:bottom w:type="dxa" w:w="0"/>
                    <w:right w:type="dxa" w:w="0"/>
                  </w:tcMar>
                  <w:vAlign w:val="top"/>
                </w:tcPr>
                <w:p/>
              </w:tc>
              <w:tc>
                <w:tcPr>
                  <w:tcW w:type="dxa" w:w="13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数据传输子系统</w:t>
                  </w:r>
                </w:p>
              </w:tc>
            </w:tr>
            <w:tr>
              <w:tc>
                <w:tcPr>
                  <w:tcW w:type="dxa" w:w="298"/>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center"/>
                  </w:pPr>
                </w:p>
              </w:tc>
              <w:tc>
                <w:tcPr>
                  <w:tcW w:type="dxa" w:w="874"/>
                  <w:tcBorders>
                    <w:top w:val="none" w:color="000000" w:sz="4"/>
                    <w:left w:val="single" w:color="000000" w:sz="4"/>
                    <w:bottom w:val="none" w:color="000000" w:sz="4"/>
                    <w:right w:val="single" w:color="000000" w:sz="4"/>
                  </w:tcBorders>
                  <w:tcMar>
                    <w:top w:type="dxa" w:w="0"/>
                    <w:left w:type="dxa" w:w="0"/>
                    <w:bottom w:type="dxa" w:w="0"/>
                    <w:right w:type="dxa" w:w="0"/>
                  </w:tcMar>
                  <w:vAlign w:val="top"/>
                </w:tcPr>
                <w:p/>
              </w:tc>
              <w:tc>
                <w:tcPr>
                  <w:tcW w:type="dxa" w:w="13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数据汇聚子系统</w:t>
                  </w:r>
                </w:p>
              </w:tc>
            </w:tr>
            <w:tr>
              <w:tc>
                <w:tcPr>
                  <w:tcW w:type="dxa" w:w="2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8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3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收费站点管理系统</w:t>
                  </w:r>
                </w:p>
              </w:tc>
            </w:tr>
            <w:tr>
              <w:tc>
                <w:tcPr>
                  <w:tcW w:type="dxa" w:w="2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4</w:t>
                  </w:r>
                </w:p>
              </w:tc>
              <w:tc>
                <w:tcPr>
                  <w:tcW w:type="dxa" w:w="8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jc w:val="left"/>
                  </w:pPr>
                  <w:r>
                    <w:rPr>
                      <w:rFonts w:ascii="仿宋_GB2312" w:hAnsi="仿宋_GB2312" w:cs="仿宋_GB2312" w:eastAsia="仿宋_GB2312"/>
                      <w:sz w:val="18"/>
                    </w:rPr>
                    <w:t>交通网点培训及终端</w:t>
                  </w:r>
                </w:p>
              </w:tc>
              <w:tc>
                <w:tcPr>
                  <w:tcW w:type="dxa" w:w="13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技术指导和日常培训</w:t>
                  </w:r>
                </w:p>
              </w:tc>
            </w:tr>
          </w:tbl>
          <w:p>
            <w:pPr>
              <w:pStyle w:val="null3"/>
              <w:ind w:firstLine="400"/>
              <w:jc w:val="both"/>
            </w:pPr>
            <w:r>
              <w:rPr>
                <w:rFonts w:ascii="仿宋_GB2312" w:hAnsi="仿宋_GB2312" w:cs="仿宋_GB2312" w:eastAsia="仿宋_GB2312"/>
                <w:sz w:val="20"/>
              </w:rPr>
              <w:t>二、服务内容</w:t>
            </w:r>
          </w:p>
          <w:p>
            <w:pPr>
              <w:pStyle w:val="null3"/>
              <w:ind w:firstLine="400"/>
              <w:jc w:val="both"/>
            </w:pPr>
            <w:r>
              <w:rPr>
                <w:rFonts w:ascii="仿宋_GB2312" w:hAnsi="仿宋_GB2312" w:cs="仿宋_GB2312" w:eastAsia="仿宋_GB2312"/>
                <w:sz w:val="20"/>
              </w:rPr>
              <w:t>服务商应能够提供我省ETC 发行服务系统软件的技术保 障和指导培训工作。保障系统软件功能正常、性能稳定，安全有效交互信息、安全存储数据。及时有效的修复软件故障，处置软件系统异常状态，提供软件使用的技术咨询与业务指导。主要内容如下：</w:t>
            </w:r>
          </w:p>
          <w:p>
            <w:pPr>
              <w:pStyle w:val="null3"/>
              <w:ind w:firstLine="400"/>
              <w:jc w:val="both"/>
            </w:pPr>
            <w:r>
              <w:rPr>
                <w:rFonts w:ascii="仿宋_GB2312" w:hAnsi="仿宋_GB2312" w:cs="仿宋_GB2312" w:eastAsia="仿宋_GB2312"/>
                <w:sz w:val="20"/>
              </w:rPr>
              <w:t>（一）提供 ETC 发行服务系统应用软件正常运行所需的 现场技术保障服务，定期组织软件功能巡检，检查软件的配置、 日志文件等，及时发现并处理异常情况。提供本地化备份与恢复策略，定期对业务数据和软件配置进行备份，确保ETC发行业务能够正常、连续、稳定的开展，及时处理发行服务、认证监管、清分结算、争议处理等方面的软件问题。</w:t>
            </w:r>
          </w:p>
          <w:p>
            <w:pPr>
              <w:pStyle w:val="null3"/>
              <w:ind w:firstLine="400"/>
              <w:jc w:val="both"/>
            </w:pPr>
            <w:r>
              <w:rPr>
                <w:rFonts w:ascii="仿宋_GB2312" w:hAnsi="仿宋_GB2312" w:cs="仿宋_GB2312" w:eastAsia="仿宋_GB2312"/>
                <w:sz w:val="20"/>
              </w:rPr>
              <w:t>（二）提供 ETC 发行服务系统软件性能监测和状态监控 等，做好软件日常关键性指标的监测与分析，合理调整优化进程，处置警告及报错状态，发现性能瓶颈和潜在问题。监测保证软件正常运行的相关状态、数据变化幅度，校验信息一致性，防止数据丢失或毁损，确保软件系统持续稳定运行。</w:t>
            </w:r>
          </w:p>
          <w:p>
            <w:pPr>
              <w:pStyle w:val="null3"/>
              <w:ind w:firstLine="400"/>
              <w:jc w:val="both"/>
            </w:pPr>
            <w:r>
              <w:rPr>
                <w:rFonts w:ascii="仿宋_GB2312" w:hAnsi="仿宋_GB2312" w:cs="仿宋_GB2312" w:eastAsia="仿宋_GB2312"/>
                <w:sz w:val="20"/>
              </w:rPr>
              <w:t>（三）提供 ETC 清分结算系统数据传输交互、记账确认、 争议判定等功能正常运行，修正因系统异常或人为因素导致的数据偏差，保障软件系统与部省中心、合作银行间数据核对、传输解析、存储备份等业务正常开展。解决发现的部省清分结算和银行请款结算的数据差异问题。</w:t>
            </w:r>
          </w:p>
          <w:p>
            <w:pPr>
              <w:pStyle w:val="null3"/>
              <w:ind w:firstLine="400"/>
              <w:jc w:val="both"/>
            </w:pPr>
            <w:r>
              <w:rPr>
                <w:rFonts w:ascii="仿宋_GB2312" w:hAnsi="仿宋_GB2312" w:cs="仿宋_GB2312" w:eastAsia="仿宋_GB2312"/>
                <w:sz w:val="20"/>
              </w:rPr>
              <w:t>（四）提供合作银行分对分接入、数据请求、验证汇聚等技术指导，及时处置对外发行认证、接口调用、功能服务等异常问题。确保合作银行系统与发行服务系统间清分结算、交易对账、名单交互等业务正常开展。保障软件系统查询统计功能，处理相关业务系统间非正常的数据差异。</w:t>
            </w:r>
          </w:p>
          <w:p>
            <w:pPr>
              <w:pStyle w:val="null3"/>
              <w:ind w:firstLine="400"/>
              <w:jc w:val="both"/>
            </w:pPr>
            <w:r>
              <w:rPr>
                <w:rFonts w:ascii="仿宋_GB2312" w:hAnsi="仿宋_GB2312" w:cs="仿宋_GB2312" w:eastAsia="仿宋_GB2312"/>
                <w:sz w:val="20"/>
              </w:rPr>
              <w:t>（五）协助做好ETC发行服务功能完善的需求分析、功能设计、验证测试等，记录软件变更、功能升级、参数配置等信息。协助合作银行完成外联系统功能的验证、测试与技术支持。为网点、合作银行、服务热线等人员提供 ETC 软件技术培训与指导。</w:t>
            </w:r>
          </w:p>
          <w:p>
            <w:pPr>
              <w:pStyle w:val="null3"/>
              <w:ind w:firstLine="400"/>
              <w:jc w:val="both"/>
            </w:pPr>
            <w:r>
              <w:rPr>
                <w:rFonts w:ascii="仿宋_GB2312" w:hAnsi="仿宋_GB2312" w:cs="仿宋_GB2312" w:eastAsia="仿宋_GB2312"/>
                <w:sz w:val="20"/>
              </w:rPr>
              <w:t>（六）提供收费站点省级管理软件正常运行所需的保障性服务。确保站点上传的交易数据及时、准确的交互处理、保障收费站点省级收费管理平台安全稳定运行。</w:t>
            </w:r>
          </w:p>
          <w:p>
            <w:pPr>
              <w:pStyle w:val="null3"/>
              <w:ind w:firstLine="400"/>
              <w:jc w:val="both"/>
            </w:pPr>
            <w:r>
              <w:rPr>
                <w:rFonts w:ascii="仿宋_GB2312" w:hAnsi="仿宋_GB2312" w:cs="仿宋_GB2312" w:eastAsia="仿宋_GB2312"/>
                <w:sz w:val="20"/>
              </w:rPr>
              <w:t>三、服务要求</w:t>
            </w:r>
          </w:p>
          <w:p>
            <w:pPr>
              <w:pStyle w:val="null3"/>
              <w:ind w:firstLine="400"/>
              <w:jc w:val="both"/>
            </w:pPr>
            <w:r>
              <w:rPr>
                <w:rFonts w:ascii="仿宋_GB2312" w:hAnsi="仿宋_GB2312" w:cs="仿宋_GB2312" w:eastAsia="仿宋_GB2312"/>
                <w:sz w:val="20"/>
              </w:rPr>
              <w:t>（一）服务要求</w:t>
            </w:r>
          </w:p>
          <w:p>
            <w:pPr>
              <w:pStyle w:val="null3"/>
              <w:ind w:firstLine="400"/>
              <w:jc w:val="both"/>
            </w:pPr>
            <w:r>
              <w:rPr>
                <w:rFonts w:ascii="仿宋_GB2312" w:hAnsi="仿宋_GB2312" w:cs="仿宋_GB2312" w:eastAsia="仿宋_GB2312"/>
                <w:sz w:val="20"/>
              </w:rPr>
              <w:t>1、服务时间：2025 年 7 月 1 日至 2026 年 6 月 30 日。</w:t>
            </w:r>
          </w:p>
          <w:p>
            <w:pPr>
              <w:pStyle w:val="null3"/>
              <w:ind w:firstLine="400"/>
              <w:jc w:val="both"/>
            </w:pPr>
            <w:r>
              <w:rPr>
                <w:rFonts w:ascii="仿宋_GB2312" w:hAnsi="仿宋_GB2312" w:cs="仿宋_GB2312" w:eastAsia="仿宋_GB2312"/>
                <w:sz w:val="20"/>
              </w:rPr>
              <w:t>2、服务方式：主要包括日常巡检、运行保障、缺陷修复与功能完善、应急处置。</w:t>
            </w:r>
          </w:p>
          <w:p>
            <w:pPr>
              <w:pStyle w:val="null3"/>
              <w:ind w:firstLine="400"/>
              <w:jc w:val="both"/>
            </w:pPr>
            <w:r>
              <w:rPr>
                <w:rFonts w:ascii="仿宋_GB2312" w:hAnsi="仿宋_GB2312" w:cs="仿宋_GB2312" w:eastAsia="仿宋_GB2312"/>
                <w:sz w:val="20"/>
              </w:rPr>
              <w:t>（1）日常巡检。每日（至少1次）针对ETC发行服务系统应用软件、第三方中间件等开展常态化检查，确保发行认证、公共接口、网点服务、数据备份、安全防护、运行监测等各项软件功能运转正常。及时处置各类软件突发故障和异常问题，发现并记录运行状态情况，及时书面反馈不良或隐患信息。</w:t>
            </w:r>
          </w:p>
          <w:p>
            <w:pPr>
              <w:pStyle w:val="null3"/>
              <w:ind w:firstLine="400"/>
              <w:jc w:val="both"/>
            </w:pPr>
            <w:r>
              <w:rPr>
                <w:rFonts w:ascii="仿宋_GB2312" w:hAnsi="仿宋_GB2312" w:cs="仿宋_GB2312" w:eastAsia="仿宋_GB2312"/>
                <w:sz w:val="20"/>
              </w:rPr>
              <w:t>（2）运行保障。针对ETC发行服务系统、ETC服务网点、 合作银行、收费管理单位和ETC拓展应用运营商在与ETC日常</w:t>
            </w:r>
          </w:p>
          <w:p>
            <w:pPr>
              <w:pStyle w:val="null3"/>
              <w:ind w:firstLine="400"/>
              <w:jc w:val="both"/>
            </w:pPr>
            <w:r>
              <w:rPr>
                <w:rFonts w:ascii="仿宋_GB2312" w:hAnsi="仿宋_GB2312" w:cs="仿宋_GB2312" w:eastAsia="仿宋_GB2312"/>
                <w:sz w:val="20"/>
              </w:rPr>
              <w:t>使用、异常处理等方面提供现场或远程技术支持，解决相关 软件和数据的异常问题。针对ETC用户使用中产生的各类客 户投诉、售后服务、异常解除、数据清理等异常提供技术支持，协助客服人员处理用户投诉，配合合作单位查询验证。确保ETC交易传输解析、结算记账、争议判定、请款划拨功 能正常使用，及时处理软件故障；完成特殊时期交易判定、拦截和争议处理技术支持。协助做好争议交易仲裁处理和证据提交等工作。协助合作银行请款确认和对账核算的技术支持工作。</w:t>
            </w:r>
          </w:p>
          <w:p>
            <w:pPr>
              <w:pStyle w:val="null3"/>
              <w:ind w:firstLine="400"/>
              <w:jc w:val="both"/>
            </w:pPr>
            <w:r>
              <w:rPr>
                <w:rFonts w:ascii="仿宋_GB2312" w:hAnsi="仿宋_GB2312" w:cs="仿宋_GB2312" w:eastAsia="仿宋_GB2312"/>
                <w:sz w:val="20"/>
              </w:rPr>
              <w:t>（3）优化修复。结合ETC业务和客服反馈问题，针对性开展软件功能优化，编制功能需求分析说明，制定完善设计方案，组织开展软件功能完善、测试验证、部署上线等工作。不断提升软件性能内聚，降低功能间耦合能力，提升应用软件在模块化和效率化方面的性能。</w:t>
            </w:r>
          </w:p>
          <w:p>
            <w:pPr>
              <w:pStyle w:val="null3"/>
              <w:ind w:firstLine="400"/>
              <w:jc w:val="both"/>
            </w:pPr>
            <w:r>
              <w:rPr>
                <w:rFonts w:ascii="仿宋_GB2312" w:hAnsi="仿宋_GB2312" w:cs="仿宋_GB2312" w:eastAsia="仿宋_GB2312"/>
                <w:sz w:val="20"/>
              </w:rPr>
              <w:t>（4）应急响应与处理。结合日常巡检和运行保障情况，提供软件宕机、服务中断、网络异常等前期预判，制定合理可行的应急维护方案。协助开展软件系统快速恢复和正常运行，提供完整的处理分析报告，制定出详尽有效的解决方案和措施。协助相关单位做好硬件故障修复后的软件测试和验证。</w:t>
            </w:r>
          </w:p>
          <w:p>
            <w:pPr>
              <w:pStyle w:val="null3"/>
              <w:ind w:firstLine="400"/>
              <w:jc w:val="both"/>
            </w:pPr>
            <w:r>
              <w:rPr>
                <w:rFonts w:ascii="仿宋_GB2312" w:hAnsi="仿宋_GB2312" w:cs="仿宋_GB2312" w:eastAsia="仿宋_GB2312"/>
                <w:sz w:val="20"/>
              </w:rPr>
              <w:t>（5）故障维护响应处理。能够及时响应处理软件系统出现的故障，响应时效要求如下：</w:t>
            </w:r>
          </w:p>
          <w:p>
            <w:pPr>
              <w:pStyle w:val="null3"/>
              <w:ind w:firstLine="400"/>
              <w:jc w:val="center"/>
            </w:pPr>
            <w:r>
              <w:rPr>
                <w:rFonts w:ascii="仿宋_GB2312" w:hAnsi="仿宋_GB2312" w:cs="仿宋_GB2312" w:eastAsia="仿宋_GB2312"/>
                <w:sz w:val="20"/>
              </w:rPr>
              <w:t>维护响应及处理时间</w:t>
            </w:r>
          </w:p>
          <w:tbl>
            <w:tblPr>
              <w:tblInd w:type="dxa" w:w="120"/>
              <w:tblBorders>
                <w:top w:val="none" w:color="000000" w:sz="4"/>
                <w:left w:val="none" w:color="000000" w:sz="4"/>
                <w:bottom w:val="none" w:color="000000" w:sz="4"/>
                <w:right w:val="none" w:color="000000" w:sz="4"/>
                <w:insideH w:val="none"/>
                <w:insideV w:val="none"/>
              </w:tblBorders>
            </w:tblPr>
            <w:tblGrid>
              <w:gridCol w:w="1339"/>
              <w:gridCol w:w="617"/>
              <w:gridCol w:w="582"/>
            </w:tblGrid>
            <w:tr>
              <w:tc>
                <w:tcPr>
                  <w:tcW w:type="dxa" w:w="133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系统功能</w:t>
                  </w:r>
                </w:p>
              </w:tc>
              <w:tc>
                <w:tcPr>
                  <w:tcW w:type="dxa" w:w="617"/>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响应时间</w:t>
                  </w:r>
                </w:p>
              </w:tc>
              <w:tc>
                <w:tcPr>
                  <w:tcW w:type="dxa" w:w="582"/>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处理时间</w:t>
                  </w:r>
                </w:p>
              </w:tc>
            </w:tr>
            <w:tr>
              <w:tc>
                <w:tcPr>
                  <w:tcW w:type="dxa" w:w="13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jc w:val="left"/>
                  </w:pPr>
                  <w:r>
                    <w:rPr>
                      <w:rFonts w:ascii="仿宋_GB2312" w:hAnsi="仿宋_GB2312" w:cs="仿宋_GB2312" w:eastAsia="仿宋_GB2312"/>
                      <w:sz w:val="20"/>
                    </w:rPr>
                    <w:t>ETC 发行服务系统</w:t>
                  </w:r>
                </w:p>
              </w:tc>
              <w:tc>
                <w:tcPr>
                  <w:tcW w:type="dxa" w:w="61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30 分钟内</w:t>
                  </w:r>
                </w:p>
              </w:tc>
              <w:tc>
                <w:tcPr>
                  <w:tcW w:type="dxa" w:w="58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3 小时内</w:t>
                  </w:r>
                </w:p>
              </w:tc>
            </w:tr>
            <w:tr>
              <w:tc>
                <w:tcPr>
                  <w:tcW w:type="dxa" w:w="13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jc w:val="left"/>
                  </w:pPr>
                  <w:r>
                    <w:rPr>
                      <w:rFonts w:ascii="仿宋_GB2312" w:hAnsi="仿宋_GB2312" w:cs="仿宋_GB2312" w:eastAsia="仿宋_GB2312"/>
                      <w:sz w:val="20"/>
                    </w:rPr>
                    <w:t>清分结算系统（包括结算相关业务系统）</w:t>
                  </w:r>
                </w:p>
              </w:tc>
              <w:tc>
                <w:tcPr>
                  <w:tcW w:type="dxa" w:w="61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30 分钟内</w:t>
                  </w:r>
                </w:p>
              </w:tc>
              <w:tc>
                <w:tcPr>
                  <w:tcW w:type="dxa" w:w="58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3 小时内</w:t>
                  </w:r>
                </w:p>
              </w:tc>
            </w:tr>
            <w:tr>
              <w:tc>
                <w:tcPr>
                  <w:tcW w:type="dxa" w:w="13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jc w:val="left"/>
                  </w:pPr>
                  <w:r>
                    <w:rPr>
                      <w:rFonts w:ascii="仿宋_GB2312" w:hAnsi="仿宋_GB2312" w:cs="仿宋_GB2312" w:eastAsia="仿宋_GB2312"/>
                      <w:sz w:val="20"/>
                    </w:rPr>
                    <w:t>三秦通小程序、网厅</w:t>
                  </w:r>
                </w:p>
              </w:tc>
              <w:tc>
                <w:tcPr>
                  <w:tcW w:type="dxa" w:w="61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30 分钟内</w:t>
                  </w:r>
                </w:p>
              </w:tc>
              <w:tc>
                <w:tcPr>
                  <w:tcW w:type="dxa" w:w="58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3 小时内</w:t>
                  </w:r>
                </w:p>
              </w:tc>
            </w:tr>
            <w:tr>
              <w:tc>
                <w:tcPr>
                  <w:tcW w:type="dxa" w:w="13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jc w:val="left"/>
                  </w:pPr>
                  <w:r>
                    <w:rPr>
                      <w:rFonts w:ascii="仿宋_GB2312" w:hAnsi="仿宋_GB2312" w:cs="仿宋_GB2312" w:eastAsia="仿宋_GB2312"/>
                      <w:sz w:val="20"/>
                    </w:rPr>
                    <w:t>运行监控系统</w:t>
                  </w:r>
                </w:p>
              </w:tc>
              <w:tc>
                <w:tcPr>
                  <w:tcW w:type="dxa" w:w="61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30 分钟内</w:t>
                  </w:r>
                </w:p>
              </w:tc>
              <w:tc>
                <w:tcPr>
                  <w:tcW w:type="dxa" w:w="58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3 小时内</w:t>
                  </w:r>
                </w:p>
              </w:tc>
            </w:tr>
          </w:tbl>
          <w:p>
            <w:pPr>
              <w:pStyle w:val="null3"/>
              <w:ind w:firstLine="400"/>
              <w:jc w:val="both"/>
            </w:pPr>
            <w:r>
              <w:rPr>
                <w:rFonts w:ascii="仿宋_GB2312" w:hAnsi="仿宋_GB2312" w:cs="仿宋_GB2312" w:eastAsia="仿宋_GB2312"/>
                <w:sz w:val="20"/>
              </w:rPr>
              <w:t>3、服务报告的要求。</w:t>
            </w:r>
          </w:p>
          <w:p>
            <w:pPr>
              <w:pStyle w:val="null3"/>
              <w:ind w:firstLine="400"/>
              <w:jc w:val="both"/>
            </w:pPr>
            <w:r>
              <w:rPr>
                <w:rFonts w:ascii="仿宋_GB2312" w:hAnsi="仿宋_GB2312" w:cs="仿宋_GB2312" w:eastAsia="仿宋_GB2312"/>
                <w:sz w:val="20"/>
              </w:rPr>
              <w:t>（1）本服务项目的交付物包含但不限于以下内容：</w:t>
            </w:r>
          </w:p>
          <w:p>
            <w:pPr>
              <w:pStyle w:val="null3"/>
              <w:ind w:firstLine="400"/>
              <w:jc w:val="both"/>
            </w:pPr>
            <w:r>
              <w:rPr>
                <w:rFonts w:ascii="仿宋_GB2312" w:hAnsi="仿宋_GB2312" w:cs="仿宋_GB2312" w:eastAsia="仿宋_GB2312"/>
                <w:sz w:val="20"/>
              </w:rPr>
              <w:t>《***系统软件日常巡检记录表》</w:t>
            </w:r>
          </w:p>
          <w:p>
            <w:pPr>
              <w:pStyle w:val="null3"/>
              <w:ind w:firstLine="400"/>
              <w:jc w:val="both"/>
            </w:pPr>
            <w:r>
              <w:rPr>
                <w:rFonts w:ascii="仿宋_GB2312" w:hAnsi="仿宋_GB2312" w:cs="仿宋_GB2312" w:eastAsia="仿宋_GB2312"/>
                <w:sz w:val="20"/>
              </w:rPr>
              <w:t>《***系统软件月度运维报告》</w:t>
            </w:r>
          </w:p>
          <w:p>
            <w:pPr>
              <w:pStyle w:val="null3"/>
              <w:ind w:firstLine="400"/>
              <w:jc w:val="both"/>
            </w:pPr>
            <w:r>
              <w:rPr>
                <w:rFonts w:ascii="仿宋_GB2312" w:hAnsi="仿宋_GB2312" w:cs="仿宋_GB2312" w:eastAsia="仿宋_GB2312"/>
                <w:sz w:val="20"/>
              </w:rPr>
              <w:t>《***系统软件运维服务总结报告》</w:t>
            </w:r>
          </w:p>
          <w:p>
            <w:pPr>
              <w:pStyle w:val="null3"/>
              <w:ind w:firstLine="400"/>
              <w:jc w:val="both"/>
            </w:pPr>
            <w:r>
              <w:rPr>
                <w:rFonts w:ascii="仿宋_GB2312" w:hAnsi="仿宋_GB2312" w:cs="仿宋_GB2312" w:eastAsia="仿宋_GB2312"/>
                <w:sz w:val="20"/>
              </w:rPr>
              <w:t>《***系统软件故障处理记录表》（若有）</w:t>
            </w:r>
          </w:p>
          <w:p>
            <w:pPr>
              <w:pStyle w:val="null3"/>
              <w:ind w:firstLine="400"/>
              <w:jc w:val="both"/>
            </w:pPr>
            <w:r>
              <w:rPr>
                <w:rFonts w:ascii="仿宋_GB2312" w:hAnsi="仿宋_GB2312" w:cs="仿宋_GB2312" w:eastAsia="仿宋_GB2312"/>
                <w:sz w:val="20"/>
              </w:rPr>
              <w:t>《***系统软件变更记录表》（若有）</w:t>
            </w:r>
          </w:p>
          <w:p>
            <w:pPr>
              <w:pStyle w:val="null3"/>
              <w:ind w:firstLine="400"/>
              <w:jc w:val="both"/>
            </w:pPr>
            <w:r>
              <w:rPr>
                <w:rFonts w:ascii="仿宋_GB2312" w:hAnsi="仿宋_GB2312" w:cs="仿宋_GB2312" w:eastAsia="仿宋_GB2312"/>
                <w:sz w:val="20"/>
              </w:rPr>
              <w:t>以及其他需要的材料。</w:t>
            </w:r>
          </w:p>
          <w:p>
            <w:pPr>
              <w:pStyle w:val="null3"/>
              <w:ind w:firstLine="400"/>
              <w:jc w:val="both"/>
            </w:pPr>
            <w:r>
              <w:rPr>
                <w:rFonts w:ascii="仿宋_GB2312" w:hAnsi="仿宋_GB2312" w:cs="仿宋_GB2312" w:eastAsia="仿宋_GB2312"/>
                <w:sz w:val="20"/>
              </w:rPr>
              <w:t>（2）软件运维（总结）报告应包含以下关键内容：</w:t>
            </w:r>
          </w:p>
          <w:p>
            <w:pPr>
              <w:pStyle w:val="null3"/>
              <w:ind w:firstLine="400"/>
              <w:jc w:val="both"/>
            </w:pPr>
            <w:r>
              <w:rPr>
                <w:rFonts w:ascii="仿宋_GB2312" w:hAnsi="仿宋_GB2312" w:cs="仿宋_GB2312" w:eastAsia="仿宋_GB2312"/>
                <w:sz w:val="20"/>
              </w:rPr>
              <w:t>服务基本信息：报告周期、业务软件名称、运维团队名称及报告撰写人、日期。</w:t>
            </w:r>
          </w:p>
          <w:p>
            <w:pPr>
              <w:pStyle w:val="null3"/>
              <w:ind w:firstLine="400"/>
              <w:jc w:val="both"/>
            </w:pPr>
            <w:r>
              <w:rPr>
                <w:rFonts w:ascii="仿宋_GB2312" w:hAnsi="仿宋_GB2312" w:cs="仿宋_GB2312" w:eastAsia="仿宋_GB2312"/>
                <w:sz w:val="20"/>
              </w:rPr>
              <w:t>服务工作概述：总结周期内运维工作，如日常巡检、故障处理、优化任务等，阐述采用的主要运维工具和技术、脚本语言等。</w:t>
            </w:r>
          </w:p>
          <w:p>
            <w:pPr>
              <w:pStyle w:val="null3"/>
              <w:ind w:firstLine="400"/>
              <w:jc w:val="both"/>
            </w:pPr>
            <w:r>
              <w:rPr>
                <w:rFonts w:ascii="仿宋_GB2312" w:hAnsi="仿宋_GB2312" w:cs="仿宋_GB2312" w:eastAsia="仿宋_GB2312"/>
                <w:sz w:val="20"/>
              </w:rPr>
              <w:t>系统软件运行状况：展示业务软件日常性能指标，呈现关键资源使用情况。</w:t>
            </w:r>
          </w:p>
          <w:p>
            <w:pPr>
              <w:pStyle w:val="null3"/>
              <w:ind w:firstLine="400"/>
              <w:jc w:val="both"/>
            </w:pPr>
            <w:r>
              <w:rPr>
                <w:rFonts w:ascii="仿宋_GB2312" w:hAnsi="仿宋_GB2312" w:cs="仿宋_GB2312" w:eastAsia="仿宋_GB2312"/>
                <w:sz w:val="20"/>
              </w:rPr>
              <w:t>软件典型故障与问题处理（若有）：罗列报告周期内软件典型故障问题，包括时间、现象、影响范围等。分析故障产生原因，说明处理措施和解决时间，评价处理效果及改进方向。</w:t>
            </w:r>
          </w:p>
          <w:p>
            <w:pPr>
              <w:pStyle w:val="null3"/>
              <w:ind w:firstLine="400"/>
              <w:jc w:val="both"/>
            </w:pPr>
            <w:r>
              <w:rPr>
                <w:rFonts w:ascii="仿宋_GB2312" w:hAnsi="仿宋_GB2312" w:cs="仿宋_GB2312" w:eastAsia="仿宋_GB2312"/>
                <w:sz w:val="20"/>
              </w:rPr>
              <w:t>软件安全运维内容：汇报安全措施及执行情况，若有则说明安全事件及处理结果，提出安全改进建议。</w:t>
            </w:r>
          </w:p>
          <w:p>
            <w:pPr>
              <w:pStyle w:val="null3"/>
              <w:ind w:firstLine="400"/>
              <w:jc w:val="both"/>
            </w:pPr>
            <w:r>
              <w:rPr>
                <w:rFonts w:ascii="仿宋_GB2312" w:hAnsi="仿宋_GB2312" w:cs="仿宋_GB2312" w:eastAsia="仿宋_GB2312"/>
                <w:sz w:val="20"/>
              </w:rPr>
              <w:t>变更管理与优化改进（若有）：记录软件系统变更，新功能上线、代码修改、配置调整及实施时间和过程。总结性能优化工作，提出后续改进计划和建议。</w:t>
            </w:r>
          </w:p>
          <w:p>
            <w:pPr>
              <w:pStyle w:val="null3"/>
              <w:ind w:firstLine="400"/>
              <w:jc w:val="both"/>
            </w:pPr>
            <w:r>
              <w:rPr>
                <w:rFonts w:ascii="仿宋_GB2312" w:hAnsi="仿宋_GB2312" w:cs="仿宋_GB2312" w:eastAsia="仿宋_GB2312"/>
                <w:sz w:val="20"/>
              </w:rPr>
              <w:t>总结运维周期内工作成果与不足，对下一阶段运维工作提出目标、计划和重点任务。</w:t>
            </w:r>
          </w:p>
          <w:p>
            <w:pPr>
              <w:pStyle w:val="null3"/>
              <w:ind w:firstLine="400"/>
              <w:jc w:val="both"/>
            </w:pPr>
            <w:r>
              <w:rPr>
                <w:rFonts w:ascii="仿宋_GB2312" w:hAnsi="仿宋_GB2312" w:cs="仿宋_GB2312" w:eastAsia="仿宋_GB2312"/>
                <w:sz w:val="20"/>
              </w:rPr>
              <w:t>（二）人员与管理要求。</w:t>
            </w:r>
          </w:p>
          <w:p>
            <w:pPr>
              <w:pStyle w:val="null3"/>
              <w:ind w:firstLine="400"/>
              <w:jc w:val="both"/>
            </w:pPr>
            <w:r>
              <w:rPr>
                <w:rFonts w:ascii="仿宋_GB2312" w:hAnsi="仿宋_GB2312" w:cs="仿宋_GB2312" w:eastAsia="仿宋_GB2312"/>
                <w:sz w:val="20"/>
              </w:rPr>
              <w:t>为确保服务工作的顺利开展，服务商应对服务人员素质及能力整体把关，原则上应满足以下条件：</w:t>
            </w:r>
          </w:p>
          <w:p>
            <w:pPr>
              <w:pStyle w:val="null3"/>
              <w:ind w:firstLine="400"/>
              <w:jc w:val="both"/>
            </w:pPr>
            <w:r>
              <w:rPr>
                <w:rFonts w:ascii="仿宋_GB2312" w:hAnsi="仿宋_GB2312" w:cs="仿宋_GB2312" w:eastAsia="仿宋_GB2312"/>
                <w:sz w:val="20"/>
              </w:rPr>
              <w:t>1、服务商拟投入本项目的专业技术服务团队应不少于5 人，需提供人员真实且详细信息与从业经历。其中，指定 1 名现场负责人，现场负责人员应具体负责项目统筹管理、资源协调、服务质量。</w:t>
            </w:r>
          </w:p>
          <w:p>
            <w:pPr>
              <w:pStyle w:val="null3"/>
              <w:ind w:firstLine="400"/>
              <w:jc w:val="both"/>
            </w:pPr>
            <w:r>
              <w:rPr>
                <w:rFonts w:ascii="仿宋_GB2312" w:hAnsi="仿宋_GB2312" w:cs="仿宋_GB2312" w:eastAsia="仿宋_GB2312"/>
                <w:sz w:val="20"/>
              </w:rPr>
              <w:t>2、项目技术服务人员应具有高速公路联网收费行业相关软件技术维护工作经历，经验丰富。熟悉 ETC 发行服务系统软件架构、熟悉 ETC 发行服务业务流程、熟悉我省 ETC 发行服务和清分结算业务现状，具备软件系统故障快速修复能力。具有 ETC 发行服务系统技术培训和业务咨询经历，并具有丰富的系统运维经验。服务商须提供项目技术服务人员不少于 12 个月的社保缴纳材料。</w:t>
            </w:r>
          </w:p>
          <w:p>
            <w:pPr>
              <w:pStyle w:val="null3"/>
              <w:ind w:firstLine="400"/>
              <w:jc w:val="both"/>
            </w:pPr>
            <w:r>
              <w:rPr>
                <w:rFonts w:ascii="仿宋_GB2312" w:hAnsi="仿宋_GB2312" w:cs="仿宋_GB2312" w:eastAsia="仿宋_GB2312"/>
                <w:sz w:val="20"/>
              </w:rPr>
              <w:t>3、服务商应保证提供不少于3 人的 5× 8 小时工作日驻 场技术服务。重大的会议、活动、节假日（春节、国庆、两会）及专项护网期间，应提供 7× 24 小时应急响应服务。驻场服务产生的一切费用由服务商自行承担。</w:t>
            </w:r>
          </w:p>
          <w:p>
            <w:pPr>
              <w:pStyle w:val="null3"/>
              <w:jc w:val="both"/>
            </w:pPr>
            <w:r>
              <w:rPr>
                <w:rFonts w:ascii="仿宋_GB2312" w:hAnsi="仿宋_GB2312" w:cs="仿宋_GB2312" w:eastAsia="仿宋_GB2312"/>
                <w:sz w:val="20"/>
              </w:rPr>
              <w:t xml:space="preserve">  4、未经采购方书面同意，服务商不得擅自变更和替换项目技术服务人员。提供项目所投入维护人员 12 个月社保缴纳证明材料。</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满足本项目服务的人员配置，具体要求见“3.2.2服务要求”内容。</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具体要求见“3.2.2服务要求”内容。</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一、磋商报价要求 磋商总报价包含完成本项目及相关服务可能发生的一切费用，供应商不得要求采购人在报价之外支付其它任何费用。由于报价填报不完整、不清楚或存在其它任何失误，所导致的任何不利后果均应当由供应商自行承担。报价不因市场因素、政府政策调整、费率调整和税收变化等而作任何调整，供应商应充分考虑到各种风险因素。 二、保密要求 项目实施过程中所收集、产生的所有与本项目相关的文档、资料，包括文字、 图片、表格、数字等各种形式所属权均归属甲方。服务商必须对所涉及到的内容保密，服务商及服务人员应按照中心项目的统一要求签署《保密协议》（见合同附件）。 三、安全要求 服务商具备健全的网络安全服务体系，具有网络安全隐患排查、完善加固、预警监测、应对攻击等服务能力，配备具有相关技术能力的网络安全专职人员，为本项目提供漏洞检测、策略配置、加固整改、安全监测、应急处置等保障措施，确保系统安全稳定运行。服务商未发生过重大网络安全事件。服务商能够按照中心项目的统一要求签署《网络安全责任协议》（见附件）。</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服务期12个月（2025年7月1日至2026年6月30日）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根据合同文本、竞争性磋商文件和竞争性磋商响应文件。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合同签订生效并进入服务期后 15 日内，供应商开具合同发票，采购人支付合同价款的65%(供应商须提供同等金额的银行保函)</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65.00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合同剩余价款的 35%，满足服务期限的第一个月后，在每月提交相应维护报告后，供应商开具合同发票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合同剩余价款的 35%，满足服务期限的第二个月后，在每月提交相应维护报告后，供应商开具合同发票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合同剩余价款的 35%，满足服务期限的第三个月后，在每月提交相应维护报告后，供应商开具合同发票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合同剩余价款的 35%，满足服务期限的第四个月后，在每月提交相应维护报告后，供应商开具合同发票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合同剩余价款的 35%，满足服务期限的第五个月后，在每月提交相应维护报告后，供应商开具合同发票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合同剩余价款的 35%，满足服务期限的第六个月后，在每月提交相应维护报告后，供应商开具合同发票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合同剩余价款的 35%，满足服务期限的第七个月后，在每月提交相应维护报告后，供应商开具合同发票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合同剩余价款的 35%，满足服务期限的第八个月后，在每月提交相应维护报告后，供应商开具合同发票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合同剩余价款的 35%，满足服务期限的第九个月后，在每月提交相应维护报告后，供应商开具合同发票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合同剩余价款的 35%，满足服务期限的第十个月后，在每月提交相应维护报告后，供应商开具合同发票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合同剩余价款的 35%，满足服务期限的第十一个月后，在每月提交相应维护报告后，供应商开具合同发票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服务期满并通过验收合格后，提交相应维护报告后，供应商开具合同发票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 中的相关条款执行。 2、未按合同要求提供服务或服务质量不能满足技术要求的， 甲方有权终止合同。对擅自开展合同内涉及的系统软件开展功能修改调整、版本升级等操作，每次扣除维护服务费 2000 元。若系统调整后影响全省业务正常运行达到 6 小时的，每次扣款 5000 元；每增加 6 小时，增加 5000 元，24 小时内最高扣款金额 20000 元。影响全省业务正常运行超过 24 小时的，根据造成的实际损失及影响进行责任追究等。 3、因乙方违约造成甲方损失的，由乙方承担全部的损失赔偿责任，包括但不限于直接经济损失及甲方因此开支的交通费、公证费、鉴定费、诉讼费、仲裁费、律师费、保全费、保险费等一切费用。 解决争议的方法： 双方本着友好合作的态度,对合同履行过程中发生的纠纷应及时协商解决，协商不成的，向采购人所在地有管辖权的人民法院诉讼解决。</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落实的政府采购政策： （1）《国务院办公厅关于建立政府强制采购节能产品制度的通知》（国办发〔2007〕51号）； （2）《财政部司法部关于政府采购支持监狱企业发展有关问题的通知》（财库〔2014〕68号）； （3）《关于促进残疾人就业政府采购政策的通知》（财库〔2017〕141号）； （4）《财政部发展改革委生态环境部市场监管总局关于调整优化节能产品、环境标志产品政府采购执行机制的通知》--（财库〔2019〕9号）； （5）《关于印发环境标志产品政府采购品目清单的通知》--（财库〔2019〕18号）； （6）《关于印发节能产品政府采购品目清单的通知》--（财库〔2019〕19号）； （7）《关于发布参与实施政府采购节能产品、环境标志产品认证机构名录的公告》—2019年第16号； （8）《政府采购促进中小企业发展暂行办法》（财库〔2020〕46号）； （9）关于印发《商品包装政府采购需求标准（试行）》（财办库〔2020〕123号）； （10）《关于运用政府采购政策支持乡村产业振兴的通知》（财库〔2021〕19号）； （11）《关于进一步加大政府采购支持中小企业力度的通知》（财库〔2022〕19号）； （12）《陕西省财政厅关于加快推进我省中小企业政府采购信用融资工作的通知》（陕财办采〔2020〕15号）； （13）《陕西省财政厅陕西省工业和信息化厅关于运用政府采购政策支持首台（套）及创新产品有关事项的通知》（陕财办采〔2021〕17号）； （14）《关于进一步加强政府绿色采购有关问题的通知》（陕财办采〔2021〕29号）； （15）其他需要落实的政府采购政策。如有最新颁布的政府采购政策，按最新的文件执行； （16）本项目为非专门面向中小企业采购。</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营业执照或其他组织</w:t>
            </w:r>
          </w:p>
        </w:tc>
        <w:tc>
          <w:tcPr>
            <w:tcW w:type="dxa" w:w="3322"/>
          </w:tcPr>
          <w:p>
            <w:pPr>
              <w:pStyle w:val="null3"/>
            </w:pPr>
            <w:r>
              <w:rPr>
                <w:rFonts w:ascii="仿宋_GB2312" w:hAnsi="仿宋_GB2312" w:cs="仿宋_GB2312" w:eastAsia="仿宋_GB2312"/>
              </w:rPr>
              <w:t>具有独立承担民事责任能力的法人、其他组织或自然人，提供营业执照/事业单位法人证书/非企业专业服务机构执业许可证/自然人身份证。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供应商应授权合法的人员参加磋商全过程</w:t>
            </w:r>
          </w:p>
        </w:tc>
        <w:tc>
          <w:tcPr>
            <w:tcW w:type="dxa" w:w="3322"/>
          </w:tcPr>
          <w:p>
            <w:pPr>
              <w:pStyle w:val="null3"/>
            </w:pPr>
            <w:r>
              <w:rPr>
                <w:rFonts w:ascii="仿宋_GB2312" w:hAnsi="仿宋_GB2312" w:cs="仿宋_GB2312" w:eastAsia="仿宋_GB2312"/>
              </w:rPr>
              <w:t>法定代表人直接参加的，提供法定代表人证明及其身份证； 授权代表参加的，提供法定代表人授权书（附法定 代表人及授权代表身份证）；非法人单位参照执行。供应商需在项目电子化交易系统中按要求上传相应证明文件并进行电子签章。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提供 2023 年度或 2024 年度经审计的财务报告(包括审计报告、资产负债表、利润表、现金流量表、所有者权益变动表及其附注等，成立时间至提交响应文件截止时间不足一年的可提供成立后任意时段的资产负债表)，或其响应文件提交截止时间前六个月内银行出具的资信证明，或信用担保机构出具的投标担保函(以上三种形式的资料提供任何一种即可)。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依法缴纳税收证明资料</w:t>
            </w:r>
          </w:p>
        </w:tc>
        <w:tc>
          <w:tcPr>
            <w:tcW w:type="dxa" w:w="3322"/>
          </w:tcPr>
          <w:p>
            <w:pPr>
              <w:pStyle w:val="null3"/>
            </w:pPr>
            <w:r>
              <w:rPr>
                <w:rFonts w:ascii="仿宋_GB2312" w:hAnsi="仿宋_GB2312" w:cs="仿宋_GB2312" w:eastAsia="仿宋_GB2312"/>
              </w:rPr>
              <w:t>提供响应文件提交截止时间前一年内至少一个月已缴纳的纳税证明或完税证明(时间以税款所属日期为准)，依法免税的单位应提供相关证明材料，凭据应有税务机关或代收机关的公章或业务专用章；依法免税或无须缴纳税收的供应商，应提供相应证明文件。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依法缴纳社会保险证明资料</w:t>
            </w:r>
          </w:p>
        </w:tc>
        <w:tc>
          <w:tcPr>
            <w:tcW w:type="dxa" w:w="3322"/>
          </w:tcPr>
          <w:p>
            <w:pPr>
              <w:pStyle w:val="null3"/>
            </w:pPr>
            <w:r>
              <w:rPr>
                <w:rFonts w:ascii="仿宋_GB2312" w:hAnsi="仿宋_GB2312" w:cs="仿宋_GB2312" w:eastAsia="仿宋_GB2312"/>
              </w:rPr>
              <w:t>提供响应文件提交截止时间前一年内至少一个月已缴纳的社会保障资金缴存单据或社保机构开具的社会保险参保缴费情况证明，依法不需要缴纳社会保障资金的单位应提供相关证明材料。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提供具有履行合同所必需的设备和专业技术能力的承诺。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非联合体磋商</w:t>
            </w:r>
          </w:p>
        </w:tc>
        <w:tc>
          <w:tcPr>
            <w:tcW w:type="dxa" w:w="3322"/>
          </w:tcPr>
          <w:p>
            <w:pPr>
              <w:pStyle w:val="null3"/>
            </w:pPr>
            <w:r>
              <w:rPr>
                <w:rFonts w:ascii="仿宋_GB2312" w:hAnsi="仿宋_GB2312" w:cs="仿宋_GB2312" w:eastAsia="仿宋_GB2312"/>
              </w:rPr>
              <w:t>本采购包不接受联合体磋商，供应商提供非联合体磋商承诺书。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资格证明资料.docx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磋商响应文件签字、盖章</w:t>
            </w:r>
          </w:p>
        </w:tc>
        <w:tc>
          <w:tcPr>
            <w:tcW w:type="dxa" w:w="3322"/>
          </w:tcPr>
          <w:p>
            <w:pPr>
              <w:pStyle w:val="null3"/>
            </w:pPr>
            <w:r>
              <w:rPr>
                <w:rFonts w:ascii="仿宋_GB2312" w:hAnsi="仿宋_GB2312" w:cs="仿宋_GB2312" w:eastAsia="仿宋_GB2312"/>
              </w:rPr>
              <w:t>响应文件、磋商响应函加盖供应商公章并经法定代表人或被授权委托人签字或盖章。</w:t>
            </w:r>
          </w:p>
        </w:tc>
        <w:tc>
          <w:tcPr>
            <w:tcW w:type="dxa" w:w="1661"/>
          </w:tcPr>
          <w:p>
            <w:pPr>
              <w:pStyle w:val="null3"/>
            </w:pPr>
            <w:r>
              <w:rPr>
                <w:rFonts w:ascii="仿宋_GB2312" w:hAnsi="仿宋_GB2312" w:cs="仿宋_GB2312" w:eastAsia="仿宋_GB2312"/>
              </w:rPr>
              <w:t>服务内容及服务邀请应答表 中小企业声明函 商务应答表 分项报价明细表.docx 报价表 资格证明资料.docx 响应文件封面 业绩资料.docx 残疾人福利性单位声明函 标的清单 响应函 服务方案.docx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磋商响应文件有效期</w:t>
            </w:r>
          </w:p>
        </w:tc>
        <w:tc>
          <w:tcPr>
            <w:tcW w:type="dxa" w:w="3322"/>
          </w:tcPr>
          <w:p>
            <w:pPr>
              <w:pStyle w:val="null3"/>
            </w:pPr>
            <w:r>
              <w:rPr>
                <w:rFonts w:ascii="仿宋_GB2312" w:hAnsi="仿宋_GB2312" w:cs="仿宋_GB2312" w:eastAsia="仿宋_GB2312"/>
              </w:rPr>
              <w:t>磋商响应文件有效期达到磋商文件的要求。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首次磋商报价</w:t>
            </w:r>
          </w:p>
        </w:tc>
        <w:tc>
          <w:tcPr>
            <w:tcW w:type="dxa" w:w="3322"/>
          </w:tcPr>
          <w:p>
            <w:pPr>
              <w:pStyle w:val="null3"/>
            </w:pPr>
            <w:r>
              <w:rPr>
                <w:rFonts w:ascii="仿宋_GB2312" w:hAnsi="仿宋_GB2312" w:cs="仿宋_GB2312" w:eastAsia="仿宋_GB2312"/>
              </w:rPr>
              <w:t>供应商首次磋商报价没有超出采购预算或最高限价。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符合技术、服务、商务要求</w:t>
            </w:r>
          </w:p>
        </w:tc>
        <w:tc>
          <w:tcPr>
            <w:tcW w:type="dxa" w:w="3322"/>
          </w:tcPr>
          <w:p>
            <w:pPr>
              <w:pStyle w:val="null3"/>
            </w:pPr>
            <w:r>
              <w:rPr>
                <w:rFonts w:ascii="仿宋_GB2312" w:hAnsi="仿宋_GB2312" w:cs="仿宋_GB2312" w:eastAsia="仿宋_GB2312"/>
              </w:rPr>
              <w:t>完全响应技术、服务、商务要求。</w:t>
            </w:r>
          </w:p>
        </w:tc>
        <w:tc>
          <w:tcPr>
            <w:tcW w:type="dxa" w:w="1661"/>
          </w:tcPr>
          <w:p>
            <w:pPr>
              <w:pStyle w:val="null3"/>
            </w:pPr>
            <w:r>
              <w:rPr>
                <w:rFonts w:ascii="仿宋_GB2312" w:hAnsi="仿宋_GB2312" w:cs="仿宋_GB2312" w:eastAsia="仿宋_GB2312"/>
              </w:rPr>
              <w:t>服务内容及服务邀请应答表 商务应答表 服务方案.docx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符合磋商文件规定的其他实质性要求的</w:t>
            </w:r>
          </w:p>
        </w:tc>
        <w:tc>
          <w:tcPr>
            <w:tcW w:type="dxa" w:w="3322"/>
          </w:tcPr>
          <w:p>
            <w:pPr>
              <w:pStyle w:val="null3"/>
            </w:pPr>
            <w:r>
              <w:rPr>
                <w:rFonts w:ascii="仿宋_GB2312" w:hAnsi="仿宋_GB2312" w:cs="仿宋_GB2312" w:eastAsia="仿宋_GB2312"/>
              </w:rPr>
              <w:t>符合磋商文件规定的其他实质性要求。</w:t>
            </w:r>
          </w:p>
        </w:tc>
        <w:tc>
          <w:tcPr>
            <w:tcW w:type="dxa" w:w="1661"/>
          </w:tcPr>
          <w:p>
            <w:pPr>
              <w:pStyle w:val="null3"/>
            </w:pPr>
            <w:r>
              <w:rPr>
                <w:rFonts w:ascii="仿宋_GB2312" w:hAnsi="仿宋_GB2312" w:cs="仿宋_GB2312" w:eastAsia="仿宋_GB2312"/>
              </w:rPr>
              <w:t>服务内容及服务邀请应答表 中小企业声明函 商务应答表 分项报价明细表.docx 报价表 资格证明资料.docx 响应文件封面 业绩资料.docx 残疾人福利性单位声明函 标的清单 响应函 服务方案.docx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其他情形</w:t>
            </w:r>
          </w:p>
        </w:tc>
        <w:tc>
          <w:tcPr>
            <w:tcW w:type="dxa" w:w="3322"/>
          </w:tcPr>
          <w:p>
            <w:pPr>
              <w:pStyle w:val="null3"/>
            </w:pPr>
            <w:r>
              <w:rPr>
                <w:rFonts w:ascii="仿宋_GB2312" w:hAnsi="仿宋_GB2312" w:cs="仿宋_GB2312" w:eastAsia="仿宋_GB2312"/>
              </w:rPr>
              <w:t>不存在其他不符合法律法规或磋商文件规定的响应无效条款的情形。</w:t>
            </w:r>
          </w:p>
        </w:tc>
        <w:tc>
          <w:tcPr>
            <w:tcW w:type="dxa" w:w="1661"/>
          </w:tcPr>
          <w:p>
            <w:pPr>
              <w:pStyle w:val="null3"/>
            </w:pPr>
            <w:r>
              <w:rPr>
                <w:rFonts w:ascii="仿宋_GB2312" w:hAnsi="仿宋_GB2312" w:cs="仿宋_GB2312" w:eastAsia="仿宋_GB2312"/>
              </w:rPr>
              <w:t>服务内容及服务邀请应答表 中小企业声明函 商务应答表 分项报价明细表.docx 报价表 资格证明资料.docx 响应文件封面 业绩资料.docx 残疾人福利性单位声明函 标的清单 响应函 服务方案.docx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项目背景及需求分析</w:t>
            </w:r>
          </w:p>
        </w:tc>
        <w:tc>
          <w:tcPr>
            <w:tcW w:type="dxa" w:w="2492"/>
          </w:tcPr>
          <w:p>
            <w:pPr>
              <w:pStyle w:val="null3"/>
            </w:pPr>
            <w:r>
              <w:rPr>
                <w:rFonts w:ascii="仿宋_GB2312" w:hAnsi="仿宋_GB2312" w:cs="仿宋_GB2312" w:eastAsia="仿宋_GB2312"/>
              </w:rPr>
              <w:t>一、评审内容 针对本项目的服务内容及要求，供应商应对项目背景理解及需求分析，内容包括： 1、对项目背景的理解； 2、对项目的需求分析。 二、评审标准 1、完整性：项目背景及需求分析必须全面，对评审内容中的各项要求有详细描述； 2、可实施性：切合本项目实际情况，项目背景及需求分析具体、合理、可行； 3、针对性：项目背景及需求能够紧扣项目实际需求，内容科学合理。 三、赋分标准（满分 6 分） 1、对项目背景的理解：每完全满足一个评审标准得1 分，满分 3 分； 2、对项目的需求分析：每完全满足一个评审标准得1 分，满分 3 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总体方案</w:t>
            </w:r>
          </w:p>
        </w:tc>
        <w:tc>
          <w:tcPr>
            <w:tcW w:type="dxa" w:w="2492"/>
          </w:tcPr>
          <w:p>
            <w:pPr>
              <w:pStyle w:val="null3"/>
            </w:pPr>
            <w:r>
              <w:rPr>
                <w:rFonts w:ascii="仿宋_GB2312" w:hAnsi="仿宋_GB2312" w:cs="仿宋_GB2312" w:eastAsia="仿宋_GB2312"/>
              </w:rPr>
              <w:t>一、评审内容 针对本项目服务内容及要求，详细列明总体服务方案，方案内容包括： 1、服务目标； 2、服务计划； 3、重难点分析； 4、服务措施。 二、评审标准 1、完整性：方案必须全面，对评审内容中的各项要求有详细描述； 2、可实施性：切合本项目实际情况，实施步骤清晰、合理、可行； 3、针对性：方案能够紧扣项目实际需求， 内容科学合理。 三、赋分标准（满分 12 分） 1、服务目标：每完全满足一个评审标准得 1 分，满分 3 分； 2、服务计划：每完全满足一个评审标准得 1 分，满 分 3 分； 3、重难点分析：每完全满足一个评审标准得 1 分，满分 3 分； 4、服务措施：每完全满足一个评审标准得 1 分，满 分 3 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技术方案</w:t>
            </w:r>
          </w:p>
        </w:tc>
        <w:tc>
          <w:tcPr>
            <w:tcW w:type="dxa" w:w="2492"/>
          </w:tcPr>
          <w:p>
            <w:pPr>
              <w:pStyle w:val="null3"/>
            </w:pPr>
            <w:r>
              <w:rPr>
                <w:rFonts w:ascii="仿宋_GB2312" w:hAnsi="仿宋_GB2312" w:cs="仿宋_GB2312" w:eastAsia="仿宋_GB2312"/>
              </w:rPr>
              <w:t>一、评审内容 为提供系统软件的技术保障，本项目技术方案内容包括： 1、日常监测与检测； 2、软件运行与技术保障； 3、功能修复与完善； 4、应急预案； 5、故障维护及处理方案； 6、技术服务体系； 7、技术保障措施； 8、合理化建议。 二、评审标准 1、完整性：内容必须全面，对评审内容中的各项要求有详细描述； 2、可实施性：切合本项目实际情况，实施步骤清晰、合理、可行； 3、针对性：描述能够紧扣项目实际需求，内容科学合理。 三、赋分标准（满分 24 分） 1、日常监测与检测：每完 全满足一个评审标准得 1 分，满分 3 分； 2、软件运行与技术保障：每完全满足一个评审标准得 1 分，满分 3 分； 3、功能修复与完善：每完全满足一个评审标准得 1 分，满分 3 分； 4、应急预案：每完全满足一个评审标准得 1 分，满 分 3 分； 5、故障维护及处理方案 ：每完全满足一个评审标准得 1 分，满分 3 分； 6、技术服务体系：每完全满足一个评审标准得 1分，满分 3 分； 7、技术保障措施：每完全满足一个评审标准得 1分，满分 3 分； 8、合理化建议：每完全满足一个评审标准得 1 分，满分 3 分。</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一、评审内容 结合对本项目的服务内容及要求，提供拟投入本项目人员配置， 内容包括： 1、团队组织结构； 2、团队人员配置（提供简历表等，格式自拟，包括但不限于姓名、职务、年龄、工作经验、年限、学历等相关信息）； 3、任职能力和岗位职责。 二、评审标准 1、完整性：团队人员配置必须全面，对评审内容中的各项要求有详细描述； 2、可实施性：切合本项目实际情况，团队人员分工明确，岗位设置合理、可行； 3、针对性：团队人员配置能够紧扣项目实际需求，科学合理。 三、赋分标准（满分 7.5 分） 1、团队组织结构：每完全满足一个评审标准得 1 分， 满分 3 分； 2、团队人员配置（提供简 历表等，格式自拟，包括但不限于姓名、职务、年龄、工作经验、年限、学历等相关信息）：每完全满足一个评审标准得 1 分， 满分 3 分； 3、任职能力和岗位职责：每完全满足一个评审标准得 0.5 分，满分 1.5 分。</w:t>
            </w:r>
          </w:p>
        </w:tc>
        <w:tc>
          <w:tcPr>
            <w:tcW w:type="dxa" w:w="831"/>
          </w:tcPr>
          <w:p>
            <w:pPr>
              <w:pStyle w:val="null3"/>
              <w:jc w:val="right"/>
            </w:pPr>
            <w:r>
              <w:rPr>
                <w:rFonts w:ascii="仿宋_GB2312" w:hAnsi="仿宋_GB2312" w:cs="仿宋_GB2312" w:eastAsia="仿宋_GB2312"/>
              </w:rPr>
              <w:t>7.5000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服务保障方案</w:t>
            </w:r>
          </w:p>
        </w:tc>
        <w:tc>
          <w:tcPr>
            <w:tcW w:type="dxa" w:w="2492"/>
          </w:tcPr>
          <w:p>
            <w:pPr>
              <w:pStyle w:val="null3"/>
            </w:pPr>
            <w:r>
              <w:rPr>
                <w:rFonts w:ascii="仿宋_GB2312" w:hAnsi="仿宋_GB2312" w:cs="仿宋_GB2312" w:eastAsia="仿宋_GB2312"/>
              </w:rPr>
              <w:t>一、评审内容 供应商需针对服务内容及要求，提供服务保障方案， 内容包括： 1、服务计划和质量保证方案； 2、安全保障方案及措施； 3、异常数据处理保障措施。 二、评审标准 1、完整性：内容必须全面，对评审内容中的各项要求有详细描述； 2、可实施性：切合本项目实际情况，实施步骤清晰、合理、可行； 3、针对性：描述能够紧扣项目实际需求，内容科学合理。 三、赋分标准（满分 9 分） 1、服务计划和质量保证方案：每完全满足一个评审标准得 1 分，满分 3 分； 2、安全保障方案及措施： 每完全满足一个评审标准得 1 分，满分 3 分； 3、异常数据处理保障措施：每完全满足一个评审标准得 1 分，满分 3 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培训指导方案</w:t>
            </w:r>
          </w:p>
        </w:tc>
        <w:tc>
          <w:tcPr>
            <w:tcW w:type="dxa" w:w="2492"/>
          </w:tcPr>
          <w:p>
            <w:pPr>
              <w:pStyle w:val="null3"/>
            </w:pPr>
            <w:r>
              <w:rPr>
                <w:rFonts w:ascii="仿宋_GB2312" w:hAnsi="仿宋_GB2312" w:cs="仿宋_GB2312" w:eastAsia="仿宋_GB2312"/>
              </w:rPr>
              <w:t>一、评审内容 为满足服务期内的项目需求，提供必要的培训指导服务，方案内容包括： 1、技术培训的内容及方式； 2、技术指导的步骤及方法。 二、评审标准 1、完整性：方案必须全面，对评审内容中的各项要求有详细描述； 2、可实施性：切合本项目实际情况，实施步骤清晰、合理、可行； 3、针对性：描述能够紧扣项目实际需求，内容科学合理。 三、赋分标准（满分 3 分） 1、技术培训的内容及方式：每完全满足一个评审标准得 0.5 分，满分 1.5分； 2、技术指导的步骤及方法：每完全满足一个评审标准得 0.5 分，满分 1.5 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安全保障方案</w:t>
            </w:r>
          </w:p>
        </w:tc>
        <w:tc>
          <w:tcPr>
            <w:tcW w:type="dxa" w:w="2492"/>
          </w:tcPr>
          <w:p>
            <w:pPr>
              <w:pStyle w:val="null3"/>
            </w:pPr>
            <w:r>
              <w:rPr>
                <w:rFonts w:ascii="仿宋_GB2312" w:hAnsi="仿宋_GB2312" w:cs="仿宋_GB2312" w:eastAsia="仿宋_GB2312"/>
              </w:rPr>
              <w:t>一、评审内容 针对预防网络安全应对的保障方案，包括： 1、人员安全管理； 2、权限管理； 3、数据安全； 4、系统安全； 5、网络安全； 6、管理制度。 二、评审标准 1、完整性：对评审内容中的各项内容要求有全面、详细描述； 2、可实施性：切合项目实际情况，各项方案内容清晰、合理、可行； 3、针对性：各项描述能够满足项目及采购人实际需求，内容科学合理。 三、赋分标准（满分 9 分） 1、人员安全管理：每完全满足一个评审标准得 0.5 分，满分 1.5 分； 2、权限管理：每完全满足一个评审标准得 0.5 分，满分 1.5 分； 3、数据安全：每完全满足一个评审标准得 0.5 分，满分 1.5 分； 4、系统安全：每完全满足一个评审标准得 0.5 分，满分 1.5 分； 5、网络安全：每完全满足一个评审标准得 0.5 分，满分 1.5 分； 6、管理制度：每完全满足一个评审标准得 0.5 分，满分 1.5 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突发事件处置及应急措施</w:t>
            </w:r>
          </w:p>
        </w:tc>
        <w:tc>
          <w:tcPr>
            <w:tcW w:type="dxa" w:w="2492"/>
          </w:tcPr>
          <w:p>
            <w:pPr>
              <w:pStyle w:val="null3"/>
            </w:pPr>
            <w:r>
              <w:rPr>
                <w:rFonts w:ascii="仿宋_GB2312" w:hAnsi="仿宋_GB2312" w:cs="仿宋_GB2312" w:eastAsia="仿宋_GB2312"/>
              </w:rPr>
              <w:t>一、评审内容 供应商应提供具有完善可行的突发事件处置及应急措施，包括： 1、突发事件响应时间； 2、突发事件处置流程； 3、突发事件应急措施。 二、评审标准 1、完整性：对评审内容中的各项要求有全面、详细描述； 2、可实施性：切合项目实际情况，各项内容清晰、合理、可行； 3、针对性：各项内容能够满足项目及采购人实际需求，内容科学合理。 三、赋分标准（满分 4.5 分） 1、突发事件响应时间：每完全满足一个评审标准得 0.5 分，满分 1.5 分； 2、突发事件处置流程：每完全满足一个评审标准得 0.5 分，满分 1.5 分； 3、突发事件应急措施：每完全满足一个评审标准得 0.5 分，满分 1.5 分。</w:t>
            </w:r>
          </w:p>
        </w:tc>
        <w:tc>
          <w:tcPr>
            <w:tcW w:type="dxa" w:w="831"/>
          </w:tcPr>
          <w:p>
            <w:pPr>
              <w:pStyle w:val="null3"/>
              <w:jc w:val="right"/>
            </w:pPr>
            <w:r>
              <w:rPr>
                <w:rFonts w:ascii="仿宋_GB2312" w:hAnsi="仿宋_GB2312" w:cs="仿宋_GB2312" w:eastAsia="仿宋_GB2312"/>
              </w:rPr>
              <w:t>4.5000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 2022 年 1 月 1 日起至今类似项目业绩（以合同签订时间为准，复印件或扫描件能清晰的表明合同双方名称、项目内容和签署日期），每提供 1 份业绩合同得 1 分，满分 5 分。 注：提供合同复印件或扫描件加盖公章，提供不全或不符合要求的不计分。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业绩资料.docx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磋商文件要求且最后报价最低的供应商的价格为磋商基准价，其价格分为满分。其他供应商的价格分统一按照下列公式计算：磋商报价得分=（磋商基准价/最后磋商报价）×价格权重（20%）× 100。（对满足价格扣除条件且在响应文件中提交 了《中小企业声明函》、《残疾人福利性单位声明函》或省级以上监狱管理局、戒毒管理局（含新疆生产建设兵团）出具的属于监狱企业的证明文件的供应商，其响应报价扣除 10% 后参与评审。对于同时属于小微企业、监狱企业或残疾人福利性单位的，不重复进行响应报价扣除。）</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详见附件：分项报价明细表.docx</w:t>
      </w:r>
    </w:p>
    <w:p>
      <w:pPr>
        <w:pStyle w:val="null3"/>
        <w:ind w:firstLine="960"/>
      </w:pPr>
      <w:r>
        <w:rPr>
          <w:rFonts w:ascii="仿宋_GB2312" w:hAnsi="仿宋_GB2312" w:cs="仿宋_GB2312" w:eastAsia="仿宋_GB2312"/>
        </w:rPr>
        <w:t>详见附件：资格证明资料.docx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详见附件：业绩资料.docx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详见附件：合同主要条款.docx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