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版本号：【KRDL】K4-2504039-0220250506001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深地空间与建筑环境虚实一体化系统采购项目(二次)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【KRDL】K4-2504039-02</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深地空间与建筑环境虚实一体化系统采购项目(二次)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【KRDL】K4-2504039-02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深地空间与建筑环境虚实一体化系统采购项目(二次)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西安建筑科技大学深地空间与建筑环境虚实一体化系统采购项目（二次），拟采购1套深地空间与建筑环境虚实一体化系统。具体采购内容及要求详见本项目竞争性谈判文件、答疑文件等全部内容。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采购包1（深地空间与建筑环境虚实一体化系统采购项目）：属于专门面向中小企业采购。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1、主体资格：供应商为向采购人提供相应货物的法人或其他组织；</w:t>
      </w:r>
    </w:p>
    <w:p>
      <w:pPr>
        <w:pStyle w:val="null3"/>
      </w:pPr>
      <w:r>
        <w:rPr>
          <w:rFonts w:ascii="仿宋_GB2312" w:hAnsi="仿宋_GB2312" w:cs="仿宋_GB2312" w:eastAsia="仿宋_GB2312"/>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3、税收缴纳证明：供应商提供自2024年1月至今已缴纳的至少一个月纳税证明或完税证明，依法免税的单位应提供相关证明材料；</w:t>
      </w:r>
    </w:p>
    <w:p>
      <w:pPr>
        <w:pStyle w:val="null3"/>
      </w:pPr>
      <w:r>
        <w:rPr>
          <w:rFonts w:ascii="仿宋_GB2312" w:hAnsi="仿宋_GB2312" w:cs="仿宋_GB2312" w:eastAsia="仿宋_GB2312"/>
        </w:rPr>
        <w:t>4、财务状况证明：供应商提供经会计师事务所审计的2023年完整的财务审计报告或在开标日期前六个月内其基本开户银行出具的资信证明；</w:t>
      </w:r>
    </w:p>
    <w:p>
      <w:pPr>
        <w:pStyle w:val="null3"/>
      </w:pPr>
      <w:r>
        <w:rPr>
          <w:rFonts w:ascii="仿宋_GB2312" w:hAnsi="仿宋_GB2312" w:cs="仿宋_GB2312" w:eastAsia="仿宋_GB2312"/>
        </w:rPr>
        <w:t>5、信誉要求：截止至响应文件递交截止时间之前，供应商未被“信用中国”列入严重失信主体名单查询及重点领域严重失信主体名单查询，未被列入“中国政府采购网(www.ccgp.gov.cn)”政府采购严重违法失信行为记录名单；</w:t>
      </w:r>
    </w:p>
    <w:p>
      <w:pPr>
        <w:pStyle w:val="null3"/>
      </w:pPr>
      <w:r>
        <w:rPr>
          <w:rFonts w:ascii="仿宋_GB2312" w:hAnsi="仿宋_GB2312" w:cs="仿宋_GB2312" w:eastAsia="仿宋_GB2312"/>
        </w:rPr>
        <w:t>6、谈判授权代表：供应商应授权合法的人员参加本项目投标活动全过程；</w:t>
      </w:r>
    </w:p>
    <w:p>
      <w:pPr>
        <w:pStyle w:val="null3"/>
      </w:pPr>
      <w:r>
        <w:rPr>
          <w:rFonts w:ascii="仿宋_GB2312" w:hAnsi="仿宋_GB2312" w:cs="仿宋_GB2312" w:eastAsia="仿宋_GB2312"/>
        </w:rPr>
        <w:t>7、是否接受进口产品：本项目未做进口论证，不接受进口产品的投标；</w:t>
      </w:r>
    </w:p>
    <w:p>
      <w:pPr>
        <w:pStyle w:val="null3"/>
      </w:pPr>
      <w:r>
        <w:rPr>
          <w:rFonts w:ascii="仿宋_GB2312" w:hAnsi="仿宋_GB2312" w:cs="仿宋_GB2312" w:eastAsia="仿宋_GB2312"/>
        </w:rPr>
        <w:t>8、是否面向中小企业采购：本项目专门面向中小企业采购。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姚瑶、代光艳、王昭、刘昆、张晨、王森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029-89581863、17302920968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采购包1：1,695,000.00元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本采购包履约保证金为合同金额的10.0%</w:t>
            </w:r>
          </w:p>
          <w:p>
            <w:pPr>
              <w:pStyle w:val="null3"/>
            </w:pPr>
            <w:r>
              <w:rPr>
                <w:rFonts w:ascii="仿宋_GB2312" w:hAnsi="仿宋_GB2312" w:cs="仿宋_GB2312" w:eastAsia="仿宋_GB2312"/>
              </w:rPr>
              <w:t>说明：说明：（1）合同签订前，中标人须向采购人提交合同总价的10%作为履约保证金；（2）设备到货并由采购人验收合格后，中标人申请，采购人将履约保证金（无息）退还中标人。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国家计委颁发的《招标代理服务收费管理暂行办法》（计价格[2002]1980号）和国家发展改革委员会办公厅颁发的《关于招标代理服务收费有关问题的通知》（发改办价格[2003] 857号）的有关规定标准下浮25%计取，向采购代理机构一次付清代理服务费。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开瑞项目管理有限公司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w:t>
      </w:r>
    </w:p>
    <w:p>
      <w:pPr>
        <w:pStyle w:val="null3"/>
      </w:pPr>
      <w:r>
        <w:rPr>
          <w:rFonts w:ascii="仿宋_GB2312" w:hAnsi="仿宋_GB2312" w:cs="仿宋_GB2312" w:eastAsia="仿宋_GB2312"/>
        </w:rPr>
        <w:t>联系电话：17302920968</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19"/>
          <w:color w:val="0000FF"/>
          <w:shd w:fill="FFFFFF" w:val="clear"/>
        </w:rPr>
        <w:t>西安建筑科技大学深地空间与建筑环境虚实一体化系统采购项目（二次），拟采购1套深地空间与建筑环境虚实一体化系统。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1,695,000.00</w:t>
      </w:r>
    </w:p>
    <w:p>
      <w:pPr>
        <w:pStyle w:val="null3"/>
      </w:pPr>
      <w:r>
        <w:rPr>
          <w:rFonts w:ascii="仿宋_GB2312" w:hAnsi="仿宋_GB2312" w:cs="仿宋_GB2312" w:eastAsia="仿宋_GB2312"/>
        </w:rPr>
        <w:t>采购包最高限价（元）: 1,610,250.00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深地空间与建筑环境虚实一体化系统采购项目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1,695,000.00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标的名称：深地空间与建筑环境虚实一体化系统采购项目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7"/>
              <w:gridCol w:w="280"/>
              <w:gridCol w:w="1678"/>
              <w:gridCol w:w="240"/>
              <w:gridCol w:w="182"/>
            </w:tblGrid>
            <w:tr>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产品名称</w:t>
                  </w:r>
                </w:p>
              </w:tc>
              <w:tc>
                <w:tcPr>
                  <w:tcW w:type="dxa" w:w="16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技术标准</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数量</w:t>
                  </w:r>
                </w:p>
              </w:tc>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深地空间与建筑环境虚实一体化系统</w:t>
                  </w:r>
                </w:p>
              </w:tc>
              <w:tc>
                <w:tcPr>
                  <w:tcW w:type="dxa" w:w="1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1.系统测试要求：</w:t>
                  </w:r>
                </w:p>
                <w:p>
                  <w:pPr>
                    <w:pStyle w:val="null3"/>
                    <w:jc w:val="left"/>
                  </w:pPr>
                  <w:r>
                    <w:rPr>
                      <w:rFonts w:ascii="仿宋_GB2312" w:hAnsi="仿宋_GB2312" w:cs="仿宋_GB2312" w:eastAsia="仿宋_GB2312"/>
                      <w:sz w:val="21"/>
                    </w:rPr>
                    <w:t>该系统要求满足深地空间与建筑环境实际测试和虚拟仿真的功能。</w:t>
                  </w:r>
                </w:p>
              </w:tc>
              <w:tc>
                <w:tcPr>
                  <w:tcW w:type="dxa" w:w="2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7"/>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1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1.系统软件要求</w:t>
                  </w:r>
                </w:p>
                <w:p>
                  <w:pPr>
                    <w:pStyle w:val="null3"/>
                    <w:jc w:val="left"/>
                  </w:pPr>
                  <w:r>
                    <w:rPr>
                      <w:rFonts w:ascii="仿宋_GB2312" w:hAnsi="仿宋_GB2312" w:cs="仿宋_GB2312" w:eastAsia="仿宋_GB2312"/>
                      <w:sz w:val="21"/>
                    </w:rPr>
                    <w:t>满足集虚拟仿真训练、支持多种仿真场景交互操作，数据导入计算等功能。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1）模拟真实实验中用到的器材和设备，提供与真实实验相似的实验环境；</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2）B/S结构，支持网页界面操作方式；</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3）提示及引导：提供高亮提示和操作引导提示；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4）视角调整：实验过程中支持自由调整观察装置、设备的视角；</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5）全屏功能：能最大化最小化实验界面；</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6）需模拟真实实验场景，包括建筑环境、深地空间；建设空调系统低阻力输配管道、风机、排烟风机等模型；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7）需提供四大模块：场景模块、输配管道调试模块、通风调试模块与火灾防排烟效果模块；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8）需支持用户在建筑环境和深地空间三维场景内自由漫游，选择场景内关键设备支持360°自由观察；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9）需提供低阻力输配管道和传统输配管道的3D模型，提供管道介绍、管道分类、连接方式说明及优缺点学习；提供管道技术参数，包括管道的管径、粗糙度数值；</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10）需支持进行输配管道搭建任务；</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11）需提供输配管道设计功能，支持对低阻力输配管道和传统输配管道内风速、压力和功率等关键参数进行设计，支持利用算法进行仿真计算；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12）需提供不同条件管道内沿程速度、压力等结果图表呈现功能；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13）需对比低阻力输配管道和传统输配管道相同设计条件下运行结果，分析低阻力输配管道优势，设计低阻力输配管道最优参数；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14）需提供附壁通风原理动画，介绍附壁通风的定义、应用场景和特点；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15）需提供附壁通风和传统通风两种通风方式，支持对风速、温度、室内负荷等参数进行设计，系统通过算法进行仿真计算；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16）需提供不同通风设计参数下房间平均温度、运行能耗的结果呈现功能；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17）需对比附壁通风和传统通风相同设计条件下运行结果，分析附壁通风优势，设计附壁通风最优参数；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18）火灾防排烟效果模块，场景中设置多个可自定义的火源位置，提供不同种类的火源，如木材火、油类火等，支持用户进行自由设置；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19）需支持设置火源的大小和热释放速率；</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20）系统通过算法进行仿真模拟，模拟过程中，以动态烟雾效果展示烟气的产生、扩散和蔓延过程，支持展示排烟系统的启动过程；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21）需提供不同火源设计参数下烟气的速度场、浓度场等结果展示功能；</w:t>
                  </w:r>
                </w:p>
                <w:p>
                  <w:pPr>
                    <w:pStyle w:val="null3"/>
                    <w:jc w:val="left"/>
                  </w:pPr>
                  <w:r>
                    <w:rPr>
                      <w:rFonts w:ascii="仿宋_GB2312" w:hAnsi="仿宋_GB2312" w:cs="仿宋_GB2312" w:eastAsia="仿宋_GB2312"/>
                      <w:sz w:val="21"/>
                    </w:rPr>
                    <w:t>★（22）设置建筑属性，包括建筑高度的设计、耐火等级、使用属性、防火分区；</w:t>
                  </w:r>
                </w:p>
                <w:p>
                  <w:pPr>
                    <w:pStyle w:val="null3"/>
                    <w:jc w:val="left"/>
                  </w:pPr>
                  <w:r>
                    <w:rPr>
                      <w:rFonts w:ascii="仿宋_GB2312" w:hAnsi="仿宋_GB2312" w:cs="仿宋_GB2312" w:eastAsia="仿宋_GB2312"/>
                      <w:sz w:val="21"/>
                    </w:rPr>
                    <w:t>★（23）设计疏散属性，包括疏散门（疏散门需满足至少选择3种不同场景）、安全出口、疏散走道；</w:t>
                  </w:r>
                </w:p>
                <w:p>
                  <w:pPr>
                    <w:pStyle w:val="null3"/>
                    <w:jc w:val="left"/>
                  </w:pPr>
                  <w:r>
                    <w:rPr>
                      <w:rFonts w:ascii="仿宋_GB2312" w:hAnsi="仿宋_GB2312" w:cs="仿宋_GB2312" w:eastAsia="仿宋_GB2312"/>
                      <w:sz w:val="21"/>
                    </w:rPr>
                    <w:t>★（24）系统可进行人员设置，包括层数、区域、速度等；可进行能见度设置、着火点设置；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25）最后疏散过程及数据可进行展示，提供实验报告导出功能，实验过程中得到的曲线图表可导出到实验报告内。</w:t>
                  </w:r>
                </w:p>
                <w:p>
                  <w:pPr>
                    <w:pStyle w:val="null3"/>
                    <w:jc w:val="left"/>
                  </w:pPr>
                  <w:r>
                    <w:rPr>
                      <w:rFonts w:ascii="仿宋_GB2312" w:hAnsi="仿宋_GB2312" w:cs="仿宋_GB2312" w:eastAsia="仿宋_GB2312"/>
                      <w:sz w:val="21"/>
                      <w:b/>
                    </w:rPr>
                    <w:t>2.</w:t>
                  </w:r>
                  <w:r>
                    <w:rPr>
                      <w:rFonts w:ascii="仿宋_GB2312" w:hAnsi="仿宋_GB2312" w:cs="仿宋_GB2312" w:eastAsia="仿宋_GB2312"/>
                      <w:sz w:val="21"/>
                      <w:b/>
                    </w:rPr>
                    <w:t xml:space="preserve"> </w:t>
                  </w:r>
                  <w:r>
                    <w:rPr>
                      <w:rFonts w:ascii="仿宋_GB2312" w:hAnsi="仿宋_GB2312" w:cs="仿宋_GB2312" w:eastAsia="仿宋_GB2312"/>
                      <w:sz w:val="21"/>
                      <w:b/>
                    </w:rPr>
                    <w:t>系统配套辅助仪器设备要求</w:t>
                  </w:r>
                </w:p>
                <w:p>
                  <w:pPr>
                    <w:pStyle w:val="null3"/>
                    <w:ind w:firstLine="420"/>
                    <w:jc w:val="both"/>
                  </w:pPr>
                  <w:r>
                    <w:rPr>
                      <w:rFonts w:ascii="仿宋_GB2312" w:hAnsi="仿宋_GB2312" w:cs="仿宋_GB2312" w:eastAsia="仿宋_GB2312"/>
                      <w:sz w:val="21"/>
                    </w:rPr>
                    <w:t>配套相应辅助仪器设备，满足系统对温湿度、气体浓度等实际原始参数输入的要求，所有设备均需满足能够在室内实验室和室外现场测试使用要求。</w:t>
                  </w:r>
                </w:p>
                <w:p>
                  <w:pPr>
                    <w:pStyle w:val="null3"/>
                    <w:jc w:val="left"/>
                  </w:pPr>
                  <w:r>
                    <w:rPr>
                      <w:rFonts w:ascii="仿宋_GB2312" w:hAnsi="仿宋_GB2312" w:cs="仿宋_GB2312" w:eastAsia="仿宋_GB2312"/>
                      <w:sz w:val="21"/>
                      <w:b/>
                    </w:rPr>
                    <w:t>2.1 多通道示踪气体采样及监测仪器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1）由多通道采样仪、红外光声谱气体监测仪等组成</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2）可同时在线监测一氧化碳、六氟化硫、甲烷、丙酮、二氧化碳以及水气浓度及压力值，通过切换校准数据实现更多种气体的测量</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3）可存储≥5种气体的浓度、空气湿度等数据</w:t>
                  </w:r>
                </w:p>
                <w:p>
                  <w:pPr>
                    <w:pStyle w:val="null3"/>
                    <w:jc w:val="left"/>
                  </w:pPr>
                  <w:r>
                    <w:rPr>
                      <w:rFonts w:ascii="仿宋_GB2312" w:hAnsi="仿宋_GB2312" w:cs="仿宋_GB2312" w:eastAsia="仿宋_GB2312"/>
                      <w:sz w:val="21"/>
                    </w:rPr>
                    <w:t>★（4）红外光声谱气体监测仪检测气体种类、量程要求：</w:t>
                  </w:r>
                </w:p>
                <w:p>
                  <w:pPr>
                    <w:pStyle w:val="null3"/>
                    <w:jc w:val="left"/>
                  </w:pPr>
                  <w:r>
                    <w:rPr>
                      <w:rFonts w:ascii="仿宋_GB2312" w:hAnsi="仿宋_GB2312" w:cs="仿宋_GB2312" w:eastAsia="仿宋_GB2312"/>
                      <w:sz w:val="21"/>
                    </w:rPr>
                    <w:t>一氧化碳：</w:t>
                  </w:r>
                  <w:r>
                    <w:rPr>
                      <w:rFonts w:ascii="仿宋_GB2312" w:hAnsi="仿宋_GB2312" w:cs="仿宋_GB2312" w:eastAsia="仿宋_GB2312"/>
                      <w:sz w:val="21"/>
                    </w:rPr>
                    <w:t>0.05~50000 ppm；</w:t>
                  </w:r>
                </w:p>
                <w:p>
                  <w:pPr>
                    <w:pStyle w:val="null3"/>
                    <w:jc w:val="left"/>
                  </w:pPr>
                  <w:r>
                    <w:rPr>
                      <w:rFonts w:ascii="仿宋_GB2312" w:hAnsi="仿宋_GB2312" w:cs="仿宋_GB2312" w:eastAsia="仿宋_GB2312"/>
                      <w:sz w:val="21"/>
                    </w:rPr>
                    <w:t>六氟化硫：</w:t>
                  </w:r>
                  <w:r>
                    <w:rPr>
                      <w:rFonts w:ascii="仿宋_GB2312" w:hAnsi="仿宋_GB2312" w:cs="仿宋_GB2312" w:eastAsia="仿宋_GB2312"/>
                      <w:sz w:val="21"/>
                    </w:rPr>
                    <w:t>1.4~140000 ppm；</w:t>
                  </w:r>
                </w:p>
                <w:p>
                  <w:pPr>
                    <w:pStyle w:val="null3"/>
                    <w:jc w:val="left"/>
                  </w:pPr>
                  <w:r>
                    <w:rPr>
                      <w:rFonts w:ascii="仿宋_GB2312" w:hAnsi="仿宋_GB2312" w:cs="仿宋_GB2312" w:eastAsia="仿宋_GB2312"/>
                      <w:sz w:val="21"/>
                    </w:rPr>
                    <w:t>甲烷：</w:t>
                  </w:r>
                  <w:r>
                    <w:rPr>
                      <w:rFonts w:ascii="仿宋_GB2312" w:hAnsi="仿宋_GB2312" w:cs="仿宋_GB2312" w:eastAsia="仿宋_GB2312"/>
                      <w:sz w:val="21"/>
                    </w:rPr>
                    <w:t>0.04~40000 ppm；</w:t>
                  </w:r>
                </w:p>
                <w:p>
                  <w:pPr>
                    <w:pStyle w:val="null3"/>
                    <w:jc w:val="left"/>
                  </w:pPr>
                  <w:r>
                    <w:rPr>
                      <w:rFonts w:ascii="仿宋_GB2312" w:hAnsi="仿宋_GB2312" w:cs="仿宋_GB2312" w:eastAsia="仿宋_GB2312"/>
                      <w:sz w:val="21"/>
                    </w:rPr>
                    <w:t>丙酮：</w:t>
                  </w:r>
                  <w:r>
                    <w:rPr>
                      <w:rFonts w:ascii="仿宋_GB2312" w:hAnsi="仿宋_GB2312" w:cs="仿宋_GB2312" w:eastAsia="仿宋_GB2312"/>
                      <w:sz w:val="21"/>
                    </w:rPr>
                    <w:t>0.1~1000 ppm；</w:t>
                  </w:r>
                </w:p>
                <w:p>
                  <w:pPr>
                    <w:pStyle w:val="null3"/>
                    <w:jc w:val="left"/>
                  </w:pPr>
                  <w:r>
                    <w:rPr>
                      <w:rFonts w:ascii="仿宋_GB2312" w:hAnsi="仿宋_GB2312" w:cs="仿宋_GB2312" w:eastAsia="仿宋_GB2312"/>
                      <w:sz w:val="21"/>
                    </w:rPr>
                    <w:t>二氧化碳：</w:t>
                  </w:r>
                  <w:r>
                    <w:rPr>
                      <w:rFonts w:ascii="仿宋_GB2312" w:hAnsi="仿宋_GB2312" w:cs="仿宋_GB2312" w:eastAsia="仿宋_GB2312"/>
                      <w:sz w:val="21"/>
                    </w:rPr>
                    <w:t>5~500000 ppm；</w:t>
                  </w:r>
                </w:p>
                <w:p>
                  <w:pPr>
                    <w:pStyle w:val="null3"/>
                    <w:jc w:val="left"/>
                  </w:pPr>
                  <w:r>
                    <w:rPr>
                      <w:rFonts w:ascii="仿宋_GB2312" w:hAnsi="仿宋_GB2312" w:cs="仿宋_GB2312" w:eastAsia="仿宋_GB2312"/>
                      <w:sz w:val="21"/>
                    </w:rPr>
                    <w:t>水汽：</w:t>
                  </w:r>
                  <w:r>
                    <w:rPr>
                      <w:rFonts w:ascii="仿宋_GB2312" w:hAnsi="仿宋_GB2312" w:cs="仿宋_GB2312" w:eastAsia="仿宋_GB2312"/>
                      <w:sz w:val="21"/>
                    </w:rPr>
                    <w:t>200~20000 ppm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5）多通道采样仪需满足测试采样点≥16个；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6）零点漂移≤检测下限/年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7）检测重复性≤测量值的1%</w:t>
                  </w:r>
                </w:p>
                <w:p>
                  <w:pPr>
                    <w:pStyle w:val="null3"/>
                    <w:jc w:val="both"/>
                  </w:pPr>
                  <w:r>
                    <w:rPr>
                      <w:rFonts w:ascii="仿宋_GB2312" w:hAnsi="仿宋_GB2312" w:cs="仿宋_GB2312" w:eastAsia="仿宋_GB2312"/>
                      <w:sz w:val="21"/>
                      <w:b/>
                    </w:rPr>
                    <w:t>2.2 温度探测仪器</w:t>
                  </w:r>
                </w:p>
                <w:p>
                  <w:pPr>
                    <w:pStyle w:val="null3"/>
                    <w:jc w:val="left"/>
                  </w:pPr>
                  <w:r>
                    <w:rPr>
                      <w:rFonts w:ascii="仿宋_GB2312" w:hAnsi="仿宋_GB2312" w:cs="仿宋_GB2312" w:eastAsia="仿宋_GB2312"/>
                      <w:sz w:val="21"/>
                    </w:rPr>
                    <w:t>★（1）测温范围：-20°C~650°C</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2）测温续航时间≥4 h</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3）可见光最大图像尺寸≥3200×2400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4）红外探测器分辨率≥640×480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5）可见光图片分辨率≥1600×1100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6）测温精度：±2°C</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7）热成像镜头焦距≥0.015 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8）噪声等效温差＜50 mk</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9）数字变倍范围：1.0X~8.0X</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10）屏幕尺寸≥3.5英寸</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11）帧频≥25 Hz</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12）数量要求：满足同时测试位置≥2个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13）可支持点、线、框测温</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14）画面显示可支持热成像、可见光、双光融合等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15）可支持图片存储全屏测温信息，支持离线测温分析等功能；</w:t>
                  </w:r>
                </w:p>
                <w:p>
                  <w:pPr>
                    <w:pStyle w:val="null3"/>
                    <w:jc w:val="left"/>
                  </w:pPr>
                  <w:r>
                    <w:rPr>
                      <w:rFonts w:ascii="仿宋_GB2312" w:hAnsi="仿宋_GB2312" w:cs="仿宋_GB2312" w:eastAsia="仿宋_GB2312"/>
                      <w:sz w:val="21"/>
                      <w:b/>
                    </w:rPr>
                    <w:t>2.3 温湿度记录仪器</w:t>
                  </w:r>
                </w:p>
                <w:p>
                  <w:pPr>
                    <w:pStyle w:val="null3"/>
                    <w:jc w:val="left"/>
                  </w:pPr>
                  <w:r>
                    <w:rPr>
                      <w:rFonts w:ascii="仿宋_GB2312" w:hAnsi="仿宋_GB2312" w:cs="仿宋_GB2312" w:eastAsia="仿宋_GB2312"/>
                      <w:sz w:val="21"/>
                    </w:rPr>
                    <w:t>★（1）湿度范围：0~99%RH，精度：±2.5%RH</w:t>
                  </w:r>
                </w:p>
                <w:p>
                  <w:pPr>
                    <w:pStyle w:val="null3"/>
                    <w:jc w:val="left"/>
                  </w:pPr>
                  <w:r>
                    <w:rPr>
                      <w:rFonts w:ascii="仿宋_GB2312" w:hAnsi="仿宋_GB2312" w:cs="仿宋_GB2312" w:eastAsia="仿宋_GB2312"/>
                      <w:sz w:val="21"/>
                    </w:rPr>
                    <w:t>★（2）温度范围：-25~70℃，精度：±0.3℃</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3）采样时间间隔: 1s~60 min（可调）</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4）需要满足无线LAN、有线、蓝牙等不同数据传输功能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5）数量要求：满足同时测试位置点≥80个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6）传输数据包括实测值、测量过程最大值、最小值等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7）模块运行时长≥5天</w:t>
                  </w:r>
                </w:p>
              </w:tc>
              <w:tc>
                <w:tcPr>
                  <w:tcW w:type="dxa" w:w="240"/>
                  <w:vMerge/>
                  <w:tcBorders>
                    <w:top w:val="none" w:color="000000" w:sz="4"/>
                    <w:left w:val="single" w:color="000000" w:sz="4"/>
                    <w:bottom w:val="single" w:color="000000" w:sz="4"/>
                    <w:right w:val="single" w:color="000000" w:sz="4"/>
                  </w:tcBorders>
                </w:tcPr>
                <w:p/>
              </w:tc>
              <w:tc>
                <w:tcPr>
                  <w:tcW w:type="dxa" w:w="182"/>
                  <w:vMerge/>
                  <w:tcBorders>
                    <w:top w:val="none" w:color="000000" w:sz="4"/>
                    <w:left w:val="single" w:color="000000" w:sz="4"/>
                    <w:bottom w:val="single" w:color="000000" w:sz="4"/>
                    <w:right w:val="single" w:color="000000" w:sz="4"/>
                  </w:tcBorders>
                </w:tcPr>
                <w:p/>
              </w:tc>
            </w:tr>
            <w:tr>
              <w:tc>
                <w:tcPr>
                  <w:tcW w:type="dxa" w:w="254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备注：各供应商拟投的产品参数必须全部满足本项目采购需求中的技术参数，否则视为未实质性响应。其中标记</w:t>
                  </w:r>
                  <w:r>
                    <w:rPr>
                      <w:rFonts w:ascii="仿宋_GB2312" w:hAnsi="仿宋_GB2312" w:cs="仿宋_GB2312" w:eastAsia="仿宋_GB2312"/>
                      <w:sz w:val="21"/>
                      <w:b/>
                    </w:rPr>
                    <w:t>“★”项的技术参数必须提供佐证材料，佐证材料包括产品彩页或技术白皮书或官网截图等，未提供或提供不全的视为未实质性响应。</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自合同签订之日起90日历日内完成交付、安装及调试。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签订合同后，设备到达指定地点、安装调试完成并验收合格后，支付合同总价的100%。最终结算时，供应商须向采购人出具合同总价款的增值税专用发票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分初次开箱验收和采购人最终验收两个阶段，以最终验收为准。2.货物到货后，采购人、供应商双方共同开箱验收。在检查货物原产地、型号、规格、配置符合合同要求后，由供应商负责安装调试、采购人使用单位负责技术验收（供应商协助），验收以国内行业标准或合同文本货物供货配置清单中描述的有关技术要求为准。3.采购人使用单位初验合格后提出验收申请，学校相关部门根据使用单位技术验收结果，组织有关专家进行货物的最终验收。4.其他内容按谈判文件、投标文件及合同约定执行。5、验收组织单位：学校实验室与设备管理处组织。</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（1）质量保证期：验收合格通过之日起2年。 （2）售后服务响应时间（质保期内）：即时响应（包括电话响应）；电话响应无法解决 48 小时内到达现场。修复时间 48 小时内解决；如在 48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设备安装、调试开始前，中标人负责对采购人进行3-5人次相关技术培训，每次培训不低于2小时，培训内容包含：设备的工作原理、设备结构、操作步骤、主要部件用途、消耗品更换、日常保养、硬件维护、故障排查等； 2.培训目标：保证客户能够独立操作、熟练使用、维护和管理有关设备； 3.所有设备实验数据未经采购人同意，不允许自动外传，中标人须提供承诺函，格式自拟。 4.谈判保证金注意事项：（1）谈判保证金须从供应商户名支付，如从个人户名或非供应商户名支付，将被拒绝，视为自动放弃投标权利（该个人是供应商的情形除外）；谈判保证金缴纳时间：开标时间之前；以保函形式交纳谈判保证金的，供应商应在投标截止时间前将保函扫描成清晰的PDF文件，发送至邮箱1164166825@qq.com（邮件命名：项目名称+项目编号）；供应商应在响应文件中附保函复印件。保函必须由具有开具投标保函资格的单位开具；若供应商违约，开具保函单位承担连带责任；（2）谈判保证金的提交金额、时间不满足采购文件要求的，投标无效；（3）谈判保证金以采购代理机构到账凭证为准，供应商无需更换交纳凭证；（4）未按指定账户提交的，代理机构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供应商为向采购人提供相应货物的法人或其他组织；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供应商提供自2024年1月至今已缴纳的至少一个月纳税证明或完税证明，依法免税的单位应提供相关证明材料；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供应商提供经会计师事务所审计的2023年完整的财务审计报告或在开标日期前六个月内其基本开户银行出具的资信证明；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截止至响应文件递交截止时间之前，供应商未被“信用中国”列入严重失信主体名单查询及重点领域严重失信主体名单查询，未被列入“中国政府采购网(www.ccgp.gov.cn)”政府采购严重违法失信行为记录名单；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谈判授权代表</w:t>
            </w:r>
          </w:p>
        </w:tc>
        <w:tc>
          <w:tcPr>
            <w:tcW w:type="dxa" w:w="3322"/>
          </w:tcPr>
          <w:p>
            <w:pPr>
              <w:pStyle w:val="null3"/>
            </w:pPr>
            <w:r>
              <w:rPr>
                <w:rFonts w:ascii="仿宋_GB2312" w:hAnsi="仿宋_GB2312" w:cs="仿宋_GB2312" w:eastAsia="仿宋_GB2312"/>
              </w:rPr>
              <w:t>供应商应授权合法的人员参加本项目投标活动全过程；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是否接受进口产品</w:t>
            </w:r>
          </w:p>
        </w:tc>
        <w:tc>
          <w:tcPr>
            <w:tcW w:type="dxa" w:w="3322"/>
          </w:tcPr>
          <w:p>
            <w:pPr>
              <w:pStyle w:val="null3"/>
            </w:pPr>
            <w:r>
              <w:rPr>
                <w:rFonts w:ascii="仿宋_GB2312" w:hAnsi="仿宋_GB2312" w:cs="仿宋_GB2312" w:eastAsia="仿宋_GB2312"/>
              </w:rPr>
              <w:t>本项目未做进口论证，不接受进口产品的投标；</w:t>
            </w:r>
          </w:p>
        </w:tc>
        <w:tc>
          <w:tcPr>
            <w:tcW w:type="dxa" w:w="1661"/>
          </w:tcPr>
          <w:p>
            <w:pPr>
              <w:pStyle w:val="null3"/>
            </w:pPr>
            <w:r>
              <w:rPr>
                <w:rFonts w:ascii="仿宋_GB2312" w:hAnsi="仿宋_GB2312" w:cs="仿宋_GB2312" w:eastAsia="仿宋_GB2312"/>
              </w:rPr>
              <w:t>供应商应提交的相关资格证明材料.docx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报价须不超过招标文件中规定的预算金额或者最高限价；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响应文件须按照竞争性谈判文件要求签署、盖章；</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商务应答表 标的清单 报价表 实施方案.docx 响应函 使用寿命承诺书.docx 技术条款响应偏离表.docx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商务应答表 标的清单 报价表 实施方案.docx 响应函 使用寿命承诺书.docx 技术条款响应偏离表.docx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响应文件是否响应本项目商务要求及服务内容及要求中的标记“★”条款</w:t>
            </w:r>
          </w:p>
        </w:tc>
        <w:tc>
          <w:tcPr>
            <w:tcW w:type="dxa" w:w="3322"/>
          </w:tcPr>
          <w:p>
            <w:pPr>
              <w:pStyle w:val="null3"/>
            </w:pPr>
            <w:r>
              <w:rPr>
                <w:rFonts w:ascii="仿宋_GB2312" w:hAnsi="仿宋_GB2312" w:cs="仿宋_GB2312" w:eastAsia="仿宋_GB2312"/>
              </w:rPr>
              <w:t>响应文件完全响应本项目商务要求及采购内容及采购内容要求中的标记“★”条款。</w:t>
            </w:r>
          </w:p>
        </w:tc>
        <w:tc>
          <w:tcPr>
            <w:tcW w:type="dxa" w:w="1661"/>
          </w:tcPr>
          <w:p>
            <w:pPr>
              <w:pStyle w:val="null3"/>
            </w:pPr>
            <w:r>
              <w:rPr>
                <w:rFonts w:ascii="仿宋_GB2312" w:hAnsi="仿宋_GB2312" w:cs="仿宋_GB2312" w:eastAsia="仿宋_GB2312"/>
              </w:rPr>
              <w:t>商务应答表 技术条款响应偏离表.docx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详见附件：使用寿命承诺书.docx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