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版本号：HXGJXM2025-ZC-GK101720250603002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数据中心机房核心网络设备升级改造项目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HXGJXM2025-ZC-GK1017</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数据中心机房核心网络设备升级改造项目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数据中心机房核心网络设备升级改造项目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据中心机房核心网络设备升级改造项目，本次围绕学校建设数字校园的总目标，以“普及应用、深度融合、模式创新”为设计原则，以“普惠利民、服务师生、改善体验”为建设目标，继承当下校园网络，面向未来技术趋势，升级学校“新生态智慧校园”网络基础设施，满足教育数字化战略转型下智慧校园建设中智慧教学、科学研究、校园管理、师生服务、智慧校园等对于校园网络新需求。具体详见招标文件第三章相关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投标截止日前一年内在本单位已缴存的至少一个月的社会保险参保缴费证明；（法定代表人直接参加投标，须提供法定代表人身份证明及身份证复印件）。</w:t>
      </w:r>
    </w:p>
    <w:p>
      <w:pPr>
        <w:pStyle w:val="null3"/>
      </w:pPr>
      <w:r>
        <w:rPr>
          <w:rFonts w:ascii="仿宋_GB2312" w:hAnsi="仿宋_GB2312" w:cs="仿宋_GB2312" w:eastAsia="仿宋_GB2312"/>
        </w:rPr>
        <w:t>2、信用记录：供应商未被“信用中国”网站 (https://www.creditchina.gov.cn/) 列入失信被执行人和重大税收违法失信主体，未被中国政府采购网(http://www.ccgp.gov.cn/) 列入政府采购严重违法失信行为记录名单。(采购代理机构于本项目招标公告发布后至开标当日查询相关信用记录，对列入失信被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rFonts w:ascii="仿宋_GB2312" w:hAnsi="仿宋_GB2312" w:cs="仿宋_GB2312" w:eastAsia="仿宋_GB2312"/>
        </w:rPr>
        <w:t>3、投标保证金：投标保证金缴纳凭证或担保机构出具的保函。</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029-86200255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的通知和国家发展和改革委员会办公厅颁发的《关于招标代理服务收费有关问题的通知》(发改办价格[2003]857号的有关规定下浮20%执行。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踏勘时间：2025-06-06 10:00:00</w:t>
            </w:r>
          </w:p>
          <w:p>
            <w:pPr>
              <w:pStyle w:val="null3"/>
              <w:ind w:firstLine="975"/>
            </w:pPr>
            <w:r>
              <w:rPr>
                <w:rFonts w:ascii="仿宋_GB2312" w:hAnsi="仿宋_GB2312" w:cs="仿宋_GB2312" w:eastAsia="仿宋_GB2312"/>
              </w:rPr>
              <w:t>踏勘地点：西安航空职业技术学院（陕西省西安市阎良区迎宾大道500号）</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联系电话号码：029-86852340 13572581196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联系人：柴彩珍、陆文科、张艳萍、康敏茹</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据中心机房核心网络设备升级改造项目，本次围绕学校建设数字校园的总目标，以“普及应用、深度融合、模式创新”为设计原则，以“普惠利民、服务师生、改善体验”为建设目标，继承当下校园网络，面向未来技术趋势，升级学校“新生态智慧校园”网络基础设施，满足教育数字化战略转型下智慧校园建设中智慧教学、科学研究、校园管理、师生服务、智慧校园等对于校园网络新需求。主要包括核心路由器2台，无线控制器2台，汇聚交换机2台。</w:t>
      </w:r>
    </w:p>
    <w:p>
      <w:pPr>
        <w:pStyle w:val="null3"/>
      </w:pPr>
      <w:r>
        <w:rPr>
          <w:rFonts w:ascii="仿宋_GB2312" w:hAnsi="仿宋_GB2312" w:cs="仿宋_GB2312" w:eastAsia="仿宋_GB2312"/>
        </w:rPr>
        <w:t>本项目核心产品：汇聚交换机。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核心路由器 无线控制器等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标的名称：核心路由器 无线控制器等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核心路由器：</w:t>
            </w:r>
          </w:p>
          <w:p>
            <w:pPr>
              <w:pStyle w:val="null3"/>
              <w:ind w:left="630"/>
              <w:jc w:val="both"/>
            </w:pPr>
            <w:r>
              <w:rPr>
                <w:rFonts w:ascii="仿宋_GB2312" w:hAnsi="仿宋_GB2312" w:cs="仿宋_GB2312" w:eastAsia="仿宋_GB2312"/>
                <w:sz w:val="24"/>
              </w:rPr>
              <w:t>1、</w:t>
            </w:r>
            <w:r>
              <w:rPr>
                <w:rFonts w:ascii="仿宋_GB2312" w:hAnsi="仿宋_GB2312" w:cs="仿宋_GB2312" w:eastAsia="仿宋_GB2312"/>
                <w:sz w:val="24"/>
              </w:rPr>
              <w:t>设备主控板、交换网板、线卡板完全物理分离</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交换容量</w:t>
            </w:r>
            <w:r>
              <w:rPr>
                <w:rFonts w:ascii="仿宋_GB2312" w:hAnsi="仿宋_GB2312" w:cs="仿宋_GB2312" w:eastAsia="仿宋_GB2312"/>
                <w:sz w:val="24"/>
              </w:rPr>
              <w:t>≥600Tbps，包转发率≥76800Mpps</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ARP协议，支持NDP协议</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color w:val="000000"/>
              </w:rPr>
              <w:t>▲</w:t>
            </w:r>
            <w:r>
              <w:rPr>
                <w:rFonts w:ascii="仿宋_GB2312" w:hAnsi="仿宋_GB2312" w:cs="仿宋_GB2312" w:eastAsia="仿宋_GB2312"/>
                <w:sz w:val="24"/>
              </w:rPr>
              <w:t>4、</w:t>
            </w:r>
            <w:r>
              <w:rPr>
                <w:rFonts w:ascii="仿宋_GB2312" w:hAnsi="仿宋_GB2312" w:cs="仿宋_GB2312" w:eastAsia="仿宋_GB2312"/>
                <w:sz w:val="24"/>
              </w:rPr>
              <w:t>总槽位数</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支持子母卡架构，子卡插在母卡上，母卡和子卡均支持热插拔</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color w:val="000000"/>
              </w:rPr>
              <w:t>▲</w:t>
            </w:r>
            <w:r>
              <w:rPr>
                <w:rFonts w:ascii="仿宋_GB2312" w:hAnsi="仿宋_GB2312" w:cs="仿宋_GB2312" w:eastAsia="仿宋_GB2312"/>
                <w:sz w:val="24"/>
              </w:rPr>
              <w:t>5、</w:t>
            </w:r>
            <w:r>
              <w:rPr>
                <w:rFonts w:ascii="仿宋_GB2312" w:hAnsi="仿宋_GB2312" w:cs="仿宋_GB2312" w:eastAsia="仿宋_GB2312"/>
                <w:sz w:val="24"/>
              </w:rPr>
              <w:t>支持电源个数</w:t>
            </w:r>
            <w:r>
              <w:rPr>
                <w:rFonts w:ascii="仿宋_GB2312" w:hAnsi="仿宋_GB2312" w:cs="仿宋_GB2312" w:eastAsia="仿宋_GB2312"/>
                <w:sz w:val="24"/>
              </w:rPr>
              <w:t>≥6个，实配2500w电源≥4个，电源系统支持冗余，支持一体化供电方式</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IPV4静态路由、OSPFv2、BGP、IS-IS、路由策略；支持IPv6静态路由、RIPng、OSPFv3、IS-ISv6、BGP4+</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color w:val="000000"/>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支持将两台物理设备虚拟化为一台逻辑设备</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设备支持</w:t>
            </w:r>
            <w:r>
              <w:rPr>
                <w:rFonts w:ascii="仿宋_GB2312" w:hAnsi="仿宋_GB2312" w:cs="仿宋_GB2312" w:eastAsia="仿宋_GB2312"/>
                <w:sz w:val="24"/>
              </w:rPr>
              <w:t>802.1x认证，支持IPv4认证，IPv6认证</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IPv</w:t>
            </w:r>
            <w:r>
              <w:rPr>
                <w:rFonts w:ascii="仿宋_GB2312" w:hAnsi="仿宋_GB2312" w:cs="仿宋_GB2312" w:eastAsia="仿宋_GB2312"/>
                <w:sz w:val="24"/>
              </w:rPr>
              <w:t>4、</w:t>
            </w:r>
            <w:r>
              <w:rPr>
                <w:rFonts w:ascii="仿宋_GB2312" w:hAnsi="仿宋_GB2312" w:cs="仿宋_GB2312" w:eastAsia="仿宋_GB2312"/>
                <w:sz w:val="24"/>
              </w:rPr>
              <w:t>IPv6的PPPoE、IPoE、L2TP，Web认证的热备</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BRAS跨VLAN、跨接口、跨单板、跨机框的漫游功能，设备内置或外置单独DHCP server均支持</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color w:val="000000"/>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802.1x认证会话双机热备</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Web认证二层、三层组网下IPv4、IPv6一次认证双栈放行功能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本次要求配置：实配</w:t>
            </w:r>
            <w:r>
              <w:rPr>
                <w:rFonts w:ascii="仿宋_GB2312" w:hAnsi="仿宋_GB2312" w:cs="仿宋_GB2312" w:eastAsia="仿宋_GB2312"/>
                <w:sz w:val="24"/>
                <w:color w:val="000000"/>
              </w:rPr>
              <w:t>1+1冗余主控，配置≥4个交换网板，配置</w:t>
            </w:r>
            <w:r>
              <w:rPr>
                <w:rFonts w:ascii="仿宋_GB2312" w:hAnsi="仿宋_GB2312" w:cs="仿宋_GB2312" w:eastAsia="仿宋_GB2312"/>
                <w:sz w:val="24"/>
                <w:color w:val="000000"/>
              </w:rPr>
              <w:t>BRAS</w:t>
            </w:r>
            <w:r>
              <w:rPr>
                <w:rFonts w:ascii="仿宋_GB2312" w:hAnsi="仿宋_GB2312" w:cs="仿宋_GB2312" w:eastAsia="仿宋_GB2312"/>
                <w:sz w:val="24"/>
                <w:color w:val="000000"/>
              </w:rPr>
              <w:t>功能业务单元板卡</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张，端口业务单元板卡</w:t>
            </w:r>
            <w:r>
              <w:rPr>
                <w:rFonts w:ascii="仿宋_GB2312" w:hAnsi="仿宋_GB2312" w:cs="仿宋_GB2312" w:eastAsia="仿宋_GB2312"/>
                <w:sz w:val="24"/>
                <w:color w:val="000000"/>
              </w:rPr>
              <w:t>≥1张，整机提供≥</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40G</w:t>
            </w:r>
            <w:r>
              <w:rPr>
                <w:rFonts w:ascii="仿宋_GB2312" w:hAnsi="仿宋_GB2312" w:cs="仿宋_GB2312" w:eastAsia="仿宋_GB2312"/>
                <w:sz w:val="24"/>
                <w:color w:val="000000"/>
              </w:rPr>
              <w:t>端口（含</w:t>
            </w:r>
            <w:r>
              <w:rPr>
                <w:rFonts w:ascii="仿宋_GB2312" w:hAnsi="仿宋_GB2312" w:cs="仿宋_GB2312" w:eastAsia="仿宋_GB2312"/>
                <w:sz w:val="24"/>
                <w:color w:val="000000"/>
              </w:rPr>
              <w:t>≥2个多模</w:t>
            </w:r>
            <w:r>
              <w:rPr>
                <w:rFonts w:ascii="仿宋_GB2312" w:hAnsi="仿宋_GB2312" w:cs="仿宋_GB2312" w:eastAsia="仿宋_GB2312"/>
                <w:sz w:val="24"/>
                <w:color w:val="000000"/>
              </w:rPr>
              <w:t>40G</w:t>
            </w:r>
            <w:r>
              <w:rPr>
                <w:rFonts w:ascii="仿宋_GB2312" w:hAnsi="仿宋_GB2312" w:cs="仿宋_GB2312" w:eastAsia="仿宋_GB2312"/>
                <w:sz w:val="24"/>
                <w:color w:val="000000"/>
              </w:rPr>
              <w:t>光模块），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个万兆端口，</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个千兆光口，</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个千兆</w:t>
            </w:r>
            <w:r>
              <w:rPr>
                <w:rFonts w:ascii="仿宋_GB2312" w:hAnsi="仿宋_GB2312" w:cs="仿宋_GB2312" w:eastAsia="仿宋_GB2312"/>
                <w:sz w:val="24"/>
                <w:color w:val="000000"/>
              </w:rPr>
              <w:t>combo</w:t>
            </w:r>
            <w:r>
              <w:rPr>
                <w:rFonts w:ascii="仿宋_GB2312" w:hAnsi="仿宋_GB2312" w:cs="仿宋_GB2312" w:eastAsia="仿宋_GB2312"/>
                <w:sz w:val="24"/>
                <w:color w:val="000000"/>
              </w:rPr>
              <w:t>口；配置万兆</w:t>
            </w:r>
            <w:r>
              <w:rPr>
                <w:rFonts w:ascii="仿宋_GB2312" w:hAnsi="仿宋_GB2312" w:cs="仿宋_GB2312" w:eastAsia="仿宋_GB2312"/>
                <w:sz w:val="24"/>
                <w:color w:val="000000"/>
              </w:rPr>
              <w:t>5m堆叠线缆≥</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根。配置</w:t>
            </w:r>
            <w:r>
              <w:rPr>
                <w:rFonts w:ascii="仿宋_GB2312" w:hAnsi="仿宋_GB2312" w:cs="仿宋_GB2312" w:eastAsia="仿宋_GB2312"/>
                <w:sz w:val="24"/>
                <w:color w:val="000000"/>
              </w:rPr>
              <w:t>≥4个2500W冗余模块化电源。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无线控制器：</w:t>
            </w:r>
          </w:p>
          <w:p>
            <w:pPr>
              <w:pStyle w:val="null3"/>
              <w:ind w:firstLine="23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1、设备整机管理AP数量≥10000个，数据转发性能≥160Gbps，本次配置AP管理授权license≥4500个。</w:t>
            </w:r>
          </w:p>
          <w:p>
            <w:pPr>
              <w:pStyle w:val="null3"/>
              <w:ind w:firstLine="23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2、配置≥16个GE Combo；万兆SFP+端口≥12个；QSFP+端口≥4个，</w:t>
            </w:r>
            <w:r>
              <w:rPr>
                <w:rFonts w:ascii="仿宋_GB2312" w:hAnsi="仿宋_GB2312" w:cs="仿宋_GB2312" w:eastAsia="仿宋_GB2312"/>
                <w:sz w:val="24"/>
                <w:color w:val="000000"/>
              </w:rPr>
              <w:t>并配置</w:t>
            </w:r>
            <w:r>
              <w:rPr>
                <w:rFonts w:ascii="仿宋_GB2312" w:hAnsi="仿宋_GB2312" w:cs="仿宋_GB2312" w:eastAsia="仿宋_GB2312"/>
                <w:sz w:val="24"/>
                <w:color w:val="000000"/>
              </w:rPr>
              <w:t>≥12个万兆多模模块；配置≥2个40G多模光模块及≥2根40G堆叠线缆，</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1+3热插拔</w:t>
            </w:r>
            <w:r>
              <w:rPr>
                <w:rFonts w:ascii="仿宋_GB2312" w:hAnsi="仿宋_GB2312" w:cs="仿宋_GB2312" w:eastAsia="仿宋_GB2312"/>
                <w:sz w:val="24"/>
                <w:color w:val="000000"/>
              </w:rPr>
              <w:t>冗余模块化电源。</w:t>
            </w:r>
          </w:p>
          <w:p>
            <w:pPr>
              <w:pStyle w:val="null3"/>
              <w:jc w:val="left"/>
            </w:pPr>
            <w:r>
              <w:rPr>
                <w:rFonts w:ascii="仿宋_GB2312" w:hAnsi="仿宋_GB2312" w:cs="仿宋_GB2312" w:eastAsia="仿宋_GB2312"/>
                <w:sz w:val="24"/>
                <w:color w:val="000000"/>
              </w:rPr>
              <w:t>3、支持虚拟化功能，两台控制器虚拟化成一台设备。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630"/>
              <w:jc w:val="both"/>
            </w:pPr>
            <w:r>
              <w:rPr>
                <w:rFonts w:ascii="仿宋_GB2312" w:hAnsi="仿宋_GB2312" w:cs="仿宋_GB2312" w:eastAsia="仿宋_GB2312"/>
                <w:sz w:val="24"/>
                <w:b/>
              </w:rPr>
              <w:t>汇聚交换机：</w:t>
            </w:r>
          </w:p>
          <w:p>
            <w:pPr>
              <w:pStyle w:val="null3"/>
              <w:ind w:left="63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交换容量</w:t>
            </w:r>
            <w:r>
              <w:rPr>
                <w:rFonts w:ascii="仿宋_GB2312" w:hAnsi="仿宋_GB2312" w:cs="仿宋_GB2312" w:eastAsia="仿宋_GB2312"/>
                <w:sz w:val="24"/>
              </w:rPr>
              <w:t>≥100Tbps，包转发率≥76800Mpps</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color w:val="000000"/>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交换网板槽位</w:t>
            </w:r>
            <w:r>
              <w:rPr>
                <w:rFonts w:ascii="仿宋_GB2312" w:hAnsi="仿宋_GB2312" w:cs="仿宋_GB2312" w:eastAsia="仿宋_GB2312"/>
                <w:sz w:val="24"/>
              </w:rPr>
              <w:t>≥2个，业务板槽位数≥6个，支持≥4个电源插槽</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VxLAN，支持基于IPv4/IPv6的VxLAN二三层互通</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BGP EVPN</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5、</w:t>
            </w:r>
            <w:r>
              <w:rPr>
                <w:rFonts w:ascii="仿宋_GB2312" w:hAnsi="仿宋_GB2312" w:cs="仿宋_GB2312" w:eastAsia="仿宋_GB2312"/>
                <w:sz w:val="24"/>
              </w:rPr>
              <w:t>支持跨设备链路聚合</w:t>
            </w:r>
            <w:r>
              <w:rPr>
                <w:rFonts w:ascii="仿宋_GB2312" w:hAnsi="仿宋_GB2312" w:cs="仿宋_GB2312" w:eastAsia="仿宋_GB2312"/>
                <w:sz w:val="24"/>
              </w:rPr>
              <w:t>。</w:t>
            </w:r>
          </w:p>
          <w:p>
            <w:pPr>
              <w:pStyle w:val="null3"/>
              <w:ind w:left="630"/>
              <w:jc w:val="both"/>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openflow1.3标准，支持RIPng，OSPFv3，BGP4+协议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1+1冗余双主控，≥</w:t>
            </w:r>
            <w:r>
              <w:rPr>
                <w:rFonts w:ascii="仿宋_GB2312" w:hAnsi="仿宋_GB2312" w:cs="仿宋_GB2312" w:eastAsia="仿宋_GB2312"/>
                <w:sz w:val="24"/>
                <w:color w:val="000000"/>
              </w:rPr>
              <w:t>48</w:t>
            </w:r>
            <w:r>
              <w:rPr>
                <w:rFonts w:ascii="仿宋_GB2312" w:hAnsi="仿宋_GB2312" w:cs="仿宋_GB2312" w:eastAsia="仿宋_GB2312"/>
                <w:sz w:val="24"/>
                <w:color w:val="000000"/>
              </w:rPr>
              <w:t>个万兆光接口</w:t>
            </w:r>
            <w:r>
              <w:rPr>
                <w:rFonts w:ascii="仿宋_GB2312" w:hAnsi="仿宋_GB2312" w:cs="仿宋_GB2312" w:eastAsia="仿宋_GB2312"/>
                <w:sz w:val="24"/>
                <w:color w:val="000000"/>
              </w:rPr>
              <w:t>（含对应模块）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≥20个千兆光接口</w:t>
            </w:r>
            <w:r>
              <w:rPr>
                <w:rFonts w:ascii="仿宋_GB2312" w:hAnsi="仿宋_GB2312" w:cs="仿宋_GB2312" w:eastAsia="仿宋_GB2312"/>
                <w:sz w:val="24"/>
                <w:color w:val="000000"/>
              </w:rPr>
              <w:t>（含对应模块）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≥24个千兆电接口</w:t>
            </w:r>
            <w:r>
              <w:rPr>
                <w:rFonts w:ascii="仿宋_GB2312" w:hAnsi="仿宋_GB2312" w:cs="仿宋_GB2312" w:eastAsia="仿宋_GB2312"/>
                <w:sz w:val="24"/>
                <w:color w:val="000000"/>
              </w:rPr>
              <w:t>（含对应模块）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≥50个万兆单模光模块，≥2根万兆堆叠线缆，实配≥2个650w冗余</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web管理界面</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附件辅材：</w:t>
            </w:r>
            <w:r>
              <w:rPr>
                <w:rFonts w:ascii="仿宋_GB2312" w:hAnsi="仿宋_GB2312" w:cs="仿宋_GB2312" w:eastAsia="仿宋_GB2312"/>
                <w:sz w:val="24"/>
                <w:color w:val="000000"/>
              </w:rPr>
              <w:t>此项目为交钥匙工程，</w:t>
            </w:r>
            <w:r>
              <w:rPr>
                <w:rFonts w:ascii="仿宋_GB2312" w:hAnsi="仿宋_GB2312" w:cs="仿宋_GB2312" w:eastAsia="仿宋_GB2312"/>
                <w:sz w:val="24"/>
                <w:color w:val="000000"/>
              </w:rPr>
              <w:t>要求在此预算内按照项目要求完成所有内容，包含施工所需的各类辅材、辅料、桥架、线槽等。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服务：</w:t>
            </w:r>
            <w:r>
              <w:rPr>
                <w:rFonts w:ascii="仿宋_GB2312" w:hAnsi="仿宋_GB2312" w:cs="仿宋_GB2312" w:eastAsia="仿宋_GB2312"/>
                <w:sz w:val="24"/>
                <w:color w:val="000000"/>
              </w:rPr>
              <w:t>本项目所有设备需提供五年原厂质保服务（提供原厂质保售后服务承诺函）；施工内容需提供八年供应商质保服务。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注：考虑到系统的稳定性和兼容性，所有网络设备要与学校现有网络系统完全兼容。（供应商需提供承诺函）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合同签定后30个日历日内完成整个设备的供货、安装、调试、验收合格并交付使用。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（一）所验产品的指标、性能参数通过验收达不到招标文件要求和投标文件承诺的，或在使用中发现设计缺陷等，将视为产品验收不合格，供应商应无条件免费更换或退货。 （二）若发现供应商有弄虚作假的，在投标阶段故意或随意夸大产品技术性能，供应商应无条件退货，并赔偿采购人相应的损失。 （三）验收标准：按招标文件、投标文件及澄清函等技术指标进行验收。各项指标均应符合验收标准及要求。 （四）验收合格后，填写验收单，双方签字盖章后生效。 （五）验收依据：1）合同文本； 2）投标文件及澄清函、招标文件；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①乙方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乙方承担。 ②乙方负责将设备送到甲方指定的安装地点，期间所发生的一切费用由乙方承担。 ③设备必须提供装箱清单，按装箱清单验收货物。 ④设备在现场的保管由乙方负责，直至项目安装、验收完毕。 ⑤乙方负责项目交付前设备的保险。 ⑥乙方负责在甲方现场服务的乙方人员的人身意外保险。乙方发生的一切事故由乙方全部负责，与甲方无关。 ⑦因乙方原因造成他方人员伤亡及财产损失的，概由乙方全权负责。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质保要求：本项目所有设备需提供五年原厂质保服务（提供原厂质保售后服务承诺函）；施工内容需提供八年供应商质保服务。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 ①合同一经签订，不得随意变更、中止或终止。对确需变更、调整或者中止、终止合同的，应按规定履行相应的手续。 ②凡与本合同有关而引起的一切争议，甲乙双方应首先通过友好协商解决，如经协商后仍不能达成协议时，任何一方可以向甲方所在地法院提出诉讼。 ③本合同的诉讼管辖地为甲方所在地的法院。 ④在进行法院审理期间，除提交法院审理的事项外，合同其他部分仍应继续履行。 ⑤本合同按照中华人民共和国的法律进行解释。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（1）培训需求：设备供应商需提供设备的使用培训，确保教师能独立操作、熟练使用。 （2）其他商务需求：其他事宜双方达成一致协商解决。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3、提供投标截止日前一年内已缴纳的至少一个月的纳税证明或完税证明，依法免税的单位应提供相关证明材料。 4、提供投标截止日前一年内已缴存的至少一个月的社会保障资金缴存单据或社保机构开具的社会保险参保缴费情况证明，依法不需要缴纳社会保障资金的单位应提供相关证明材料。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6供应商承诺书.docx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在本单位已缴存的至少一个月的社会保险参保缴费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 (https://www.creditchina.gov.cn/) 列入失信被执行人和重大税收违法失信主体，未被中国政府采购网(http://www.ccgp.gov.cn/) 列入政府采购严重违法失信行为记录名单。(采购代理机构于本项目招标公告发布后至开标当日查询相关信用记录，对列入失信被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2技术规格响应表.docx 3商务条款偏离表.docx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4投标报价表.docx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4投标报价表.docx 3商务条款偏离表.docx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投标设备的技术规格参数及功能要求（除标★项以外）： （1）8个标▲项：参数完全满足招标文件要求，得16分；每负偏离1项扣2分。 （2）12个非标▲项：参数完全满足招标文件要求，得12分；每负偏离1项扣1分。 备注：以提供的佐证资料为响应依据并加盖投标人公章，予以证明其技术参数的响应性。佐证材料如第三方专业机构检测报告或产品说明书或产品彩页或官网截图等。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2技术规格响应表.docx</w:t>
            </w:r>
          </w:p>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所投产品（核心路由器、无线控制器、汇聚交换机）进货渠道正规，提供厂家针对本项目相关合法来源渠道证明文件。 投标人为制造厂家的提供所投生产承诺书或相关证明材料；投标人为经销商的提供所投产品合法来源渠道证明文件（包括但不限于：产品制造商授权或销售协议或代理协议等）。 每提供一个所投产品的符合评审要求的承诺书/相关证明材料或产品制造商授权或销售协议或代理协议等，得1分，满分3分。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1、所投产品（核心路由器、无线控制器、汇聚交换机）符合行业标准，并提供相应的证明材料（包括但不限于所投产品的认证证书或检验报告等）。 每提供一个所投产品的符合评审要求的承诺书及相关证明材料，得1分,满分3分。 备注：以加盖投标人公章的证明材料扫描件或复印件为计分依据。 2、所有设备在满足原厂五年质保的基础上，每增加一年原厂质保加1分，最多加3分。备注：以投标人投标文件中开标一览表中质保要求响应为准。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提供针对本项目的技术方案，包括但不限于：①总体设计方案；②升级改造方案；③兼容性保障方案。 方案各部分内容全面详细、阐述条理清晰详尽、符合本项目采购需求得6分；以上分项每缺少一项内容扣2分；有某一项不完整或不符合实际要求或不满足实施要求或套用其他项目内容的每项扣（0-2）。</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根据投标人提供的项目实施方案，包含：①具体的实施进度控制和供货安排；②人员（至少2名原厂工程师，提供人员相关信息，如姓名、身份证号、联系电话等）配备方案；③运输及安装调试方案。 方案各部分内容全面详细、阐述条理清晰详尽、符合本项目采购需求得6分；以上分项每缺少一项内容扣2分；有某一项不完整或不符合实际要求 或不满足实施要求或套用其他项目内容的每项扣（0-2）分。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投标人提供完善的售后服务能力，包含：①售后服务机构（提供证明材料、联系方式等）及售后服务条款；②应急预案（产品配送、设备系统发生故障后的补救措施及响应时间）；③培训方案。 方案各部分内容全面详细、阐述条理清晰详尽、符合本项目采购需求得6分；以上分项每缺少一项内容扣2分；有某一项不完整或不符合实际要求或不满足实施要求或套用其他项目内容的每项扣（0-2）。</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4月1日至今(以合同签订时间为准)同类项目业绩和业主评价，每提供一份有效业绩证明材料，得1分，满分共5分。（注：业绩证明材料以投标文件中所附的合同复印件及业主好评资料并加盖公章为准，业主评价差或不满意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投标报价得分=(评标基准价／投标报价)×40； 4、计算分数时四舍五入取小数点后两位。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4投标报价表.docx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详见附件：2技术规格响应表.docx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详见附件：4投标报价表.docx</w:t>
      </w:r>
    </w:p>
    <w:p>
      <w:pPr>
        <w:pStyle w:val="null3"/>
        <w:ind w:firstLine="960"/>
      </w:pPr>
      <w:r>
        <w:rPr>
          <w:rFonts w:ascii="仿宋_GB2312" w:hAnsi="仿宋_GB2312" w:cs="仿宋_GB2312" w:eastAsia="仿宋_GB2312"/>
        </w:rPr>
        <w:t>详见附件：5投标方案说明书.docx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