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版本号：ZDJ125-011／03ZSA20250508002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普通国省干线公路项目初步设计审查咨询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ZDJ125-011／03ZSA</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普通国省干线公路项目初步设计审查咨询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ZDJ125-011／03ZSA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普通国省干线公路项目初步设计审查咨询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为做好2025年干线公路建设项目初步设计文件审查工作，提高我省国省干线公路设计质量。 普通国省干线公路项目初步设计审查咨询项目已列入2025年度省局机关预算，预算金额46.99万元，划分1个标段。面向社会进行公开政府采购，采购方式为竞争性磋商。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029-88408515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卓腾、杨婉莉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029-82471109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采购包1：469,900.00元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说明：1.乙方在签订本合同之前，向甲方构提交履约保证金人民币为成交价的5%。 2.履约保证金的有效期为乙方承诺的服务期限。 3.履约保证金作为违约金的一部分及用于补偿甲方因乙方不能履行合同义务而蒙受的损失。 4.服务期限结束后，乙方出具项目履约情况报告，甲方通过履约验收合格且无任何争议后，向乙方退还履约保证金（无息）。 5.乙方可以履约担保函的形式交纳履约保证金。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代理服务费收费标准：依据采购人与代理机构签订的代理合同以成交金额的1%收取，由成交单位领取成交通知书前一次付清代理服务费。 开户名称：正大方略工程咨询有限公司西安第一分公司 开户行：交通银行西安友谊西路支行 账号：611301130018150039138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联系人：卓腾、杨婉莉</w:t>
      </w:r>
    </w:p>
    <w:p>
      <w:pPr>
        <w:pStyle w:val="null3"/>
      </w:pPr>
      <w:r>
        <w:rPr>
          <w:rFonts w:ascii="仿宋_GB2312" w:hAnsi="仿宋_GB2312" w:cs="仿宋_GB2312" w:eastAsia="仿宋_GB2312"/>
        </w:rPr>
        <w:t>联系电话： 029-82471109</w:t>
      </w:r>
    </w:p>
    <w:p>
      <w:pPr>
        <w:pStyle w:val="null3"/>
      </w:pPr>
      <w:r>
        <w:rPr>
          <w:rFonts w:ascii="仿宋_GB2312" w:hAnsi="仿宋_GB2312" w:cs="仿宋_GB2312" w:eastAsia="仿宋_GB2312"/>
        </w:rPr>
        <w:t>地址：西安市雁塔区南二环东段22号（凯森盛世1号）A座26楼2617经营一部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为做好2025年干线公路建设项目初步设计文件审查工作，提高我省国省干线公路设计质量。 普通国省干线公路项目初步设计审查咨询项目已列入2025年度省局机关预算，预算金额46.99万元，划分1个标段。面向社会进行公开政府采购，采购方式为竞争性磋商。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469,900.00</w:t>
      </w:r>
    </w:p>
    <w:p>
      <w:pPr>
        <w:pStyle w:val="null3"/>
      </w:pPr>
      <w:r>
        <w:rPr>
          <w:rFonts w:ascii="仿宋_GB2312" w:hAnsi="仿宋_GB2312" w:cs="仿宋_GB2312" w:eastAsia="仿宋_GB2312"/>
        </w:rPr>
        <w:t>采购包最高限价（元）: 469,900.00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普通国省干线公路项目初步设计审查咨询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469,900.00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标的名称：普通国省干线公路项目初步设计审查咨询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、采购内容</w:t>
            </w:r>
          </w:p>
          <w:p>
            <w:pPr>
              <w:pStyle w:val="null3"/>
              <w:ind w:firstLine="422"/>
              <w:jc w:val="both"/>
            </w:pPr>
            <w:r>
              <w:rPr>
                <w:rFonts w:ascii="仿宋_GB2312" w:hAnsi="仿宋_GB2312" w:cs="仿宋_GB2312" w:eastAsia="仿宋_GB2312"/>
                <w:sz w:val="21"/>
                <w:b/>
              </w:rPr>
              <w:t>1.1</w:t>
            </w:r>
            <w:r>
              <w:rPr>
                <w:rFonts w:ascii="仿宋_GB2312" w:hAnsi="仿宋_GB2312" w:cs="仿宋_GB2312" w:eastAsia="仿宋_GB2312"/>
                <w:sz w:val="21"/>
                <w:b/>
              </w:rPr>
              <w:t>咨询范围</w:t>
            </w:r>
          </w:p>
          <w:p>
            <w:pPr>
              <w:pStyle w:val="null3"/>
              <w:ind w:firstLine="420"/>
              <w:jc w:val="both"/>
            </w:pPr>
            <w:r>
              <w:rPr>
                <w:rFonts w:ascii="仿宋_GB2312" w:hAnsi="仿宋_GB2312" w:cs="仿宋_GB2312" w:eastAsia="仿宋_GB2312"/>
                <w:sz w:val="21"/>
              </w:rPr>
              <w:t>本合同工程</w:t>
            </w:r>
            <w:r>
              <w:rPr>
                <w:rFonts w:ascii="仿宋_GB2312" w:hAnsi="仿宋_GB2312" w:cs="仿宋_GB2312" w:eastAsia="仿宋_GB2312"/>
                <w:sz w:val="21"/>
              </w:rPr>
              <w:t>为审查项目</w:t>
            </w:r>
            <w:r>
              <w:rPr>
                <w:rFonts w:ascii="仿宋_GB2312" w:hAnsi="仿宋_GB2312" w:cs="仿宋_GB2312" w:eastAsia="仿宋_GB2312"/>
                <w:sz w:val="21"/>
              </w:rPr>
              <w:t>的</w:t>
            </w:r>
            <w:r>
              <w:rPr>
                <w:rFonts w:ascii="仿宋_GB2312" w:hAnsi="仿宋_GB2312" w:cs="仿宋_GB2312" w:eastAsia="仿宋_GB2312"/>
                <w:sz w:val="21"/>
              </w:rPr>
              <w:t>总体设计、</w:t>
            </w:r>
            <w:r>
              <w:rPr>
                <w:rFonts w:ascii="仿宋_GB2312" w:hAnsi="仿宋_GB2312" w:cs="仿宋_GB2312" w:eastAsia="仿宋_GB2312"/>
                <w:sz w:val="21"/>
              </w:rPr>
              <w:t>路线、路基、路面、桥涵、隧道、路线交叉、交通</w:t>
            </w:r>
            <w:r>
              <w:rPr>
                <w:rFonts w:ascii="仿宋_GB2312" w:hAnsi="仿宋_GB2312" w:cs="仿宋_GB2312" w:eastAsia="仿宋_GB2312"/>
                <w:sz w:val="21"/>
              </w:rPr>
              <w:t>工程及沿线</w:t>
            </w:r>
            <w:r>
              <w:rPr>
                <w:rFonts w:ascii="仿宋_GB2312" w:hAnsi="仿宋_GB2312" w:cs="仿宋_GB2312" w:eastAsia="仿宋_GB2312"/>
                <w:sz w:val="21"/>
              </w:rPr>
              <w:t>设施、环境保护与景观</w:t>
            </w:r>
            <w:r>
              <w:rPr>
                <w:rFonts w:ascii="仿宋_GB2312" w:hAnsi="仿宋_GB2312" w:cs="仿宋_GB2312" w:eastAsia="仿宋_GB2312"/>
                <w:sz w:val="21"/>
              </w:rPr>
              <w:t>设计</w:t>
            </w:r>
            <w:r>
              <w:rPr>
                <w:rFonts w:ascii="仿宋_GB2312" w:hAnsi="仿宋_GB2312" w:cs="仿宋_GB2312" w:eastAsia="仿宋_GB2312"/>
                <w:sz w:val="21"/>
              </w:rPr>
              <w:t>、</w:t>
            </w:r>
            <w:r>
              <w:rPr>
                <w:rFonts w:ascii="仿宋_GB2312" w:hAnsi="仿宋_GB2312" w:cs="仿宋_GB2312" w:eastAsia="仿宋_GB2312"/>
                <w:sz w:val="21"/>
              </w:rPr>
              <w:t>其他</w:t>
            </w:r>
            <w:r>
              <w:rPr>
                <w:rFonts w:ascii="仿宋_GB2312" w:hAnsi="仿宋_GB2312" w:cs="仿宋_GB2312" w:eastAsia="仿宋_GB2312"/>
                <w:sz w:val="21"/>
              </w:rPr>
              <w:t>工程</w:t>
            </w:r>
            <w:r>
              <w:rPr>
                <w:rFonts w:ascii="仿宋_GB2312" w:hAnsi="仿宋_GB2312" w:cs="仿宋_GB2312" w:eastAsia="仿宋_GB2312"/>
                <w:sz w:val="21"/>
              </w:rPr>
              <w:t>、筑路材料、施工方案等</w:t>
            </w:r>
            <w:r>
              <w:rPr>
                <w:rFonts w:ascii="仿宋_GB2312" w:hAnsi="仿宋_GB2312" w:cs="仿宋_GB2312" w:eastAsia="仿宋_GB2312"/>
                <w:sz w:val="21"/>
              </w:rPr>
              <w:t>的工程勘察、</w:t>
            </w:r>
            <w:r>
              <w:rPr>
                <w:rFonts w:ascii="仿宋_GB2312" w:hAnsi="仿宋_GB2312" w:cs="仿宋_GB2312" w:eastAsia="仿宋_GB2312"/>
                <w:sz w:val="21"/>
              </w:rPr>
              <w:t>初步</w:t>
            </w:r>
            <w:r>
              <w:rPr>
                <w:rFonts w:ascii="仿宋_GB2312" w:hAnsi="仿宋_GB2312" w:cs="仿宋_GB2312" w:eastAsia="仿宋_GB2312"/>
                <w:sz w:val="21"/>
              </w:rPr>
              <w:t>设计的技术咨询</w:t>
            </w:r>
            <w:r>
              <w:rPr>
                <w:rFonts w:ascii="仿宋_GB2312" w:hAnsi="仿宋_GB2312" w:cs="仿宋_GB2312" w:eastAsia="仿宋_GB2312"/>
                <w:sz w:val="21"/>
              </w:rPr>
              <w:t>服务，重大初步设计变更的</w:t>
            </w:r>
            <w:r>
              <w:rPr>
                <w:rFonts w:ascii="仿宋_GB2312" w:hAnsi="仿宋_GB2312" w:cs="仿宋_GB2312" w:eastAsia="仿宋_GB2312"/>
                <w:sz w:val="21"/>
              </w:rPr>
              <w:t>技术咨询</w:t>
            </w:r>
            <w:r>
              <w:rPr>
                <w:rFonts w:ascii="仿宋_GB2312" w:hAnsi="仿宋_GB2312" w:cs="仿宋_GB2312" w:eastAsia="仿宋_GB2312"/>
                <w:sz w:val="21"/>
              </w:rPr>
              <w:t>服务</w:t>
            </w:r>
            <w:r>
              <w:rPr>
                <w:rFonts w:ascii="仿宋_GB2312" w:hAnsi="仿宋_GB2312" w:cs="仿宋_GB2312" w:eastAsia="仿宋_GB2312"/>
                <w:sz w:val="21"/>
              </w:rPr>
              <w:t>及省厅作为实施机构的</w:t>
            </w:r>
            <w:r>
              <w:rPr>
                <w:rFonts w:ascii="仿宋_GB2312" w:hAnsi="仿宋_GB2312" w:cs="仿宋_GB2312" w:eastAsia="仿宋_GB2312"/>
                <w:sz w:val="21"/>
              </w:rPr>
              <w:t>PPP高速公路项目设计回溯报告审查</w:t>
            </w:r>
            <w:r>
              <w:rPr>
                <w:rFonts w:ascii="仿宋_GB2312" w:hAnsi="仿宋_GB2312" w:cs="仿宋_GB2312" w:eastAsia="仿宋_GB2312"/>
                <w:sz w:val="21"/>
              </w:rPr>
              <w:t>。</w:t>
            </w:r>
            <w:r>
              <w:rPr>
                <w:rFonts w:ascii="仿宋_GB2312" w:hAnsi="仿宋_GB2312" w:cs="仿宋_GB2312" w:eastAsia="仿宋_GB2312"/>
                <w:sz w:val="21"/>
              </w:rPr>
              <w:t>初步设计审查咨询项目为</w:t>
            </w:r>
            <w:r>
              <w:rPr>
                <w:rFonts w:ascii="仿宋_GB2312" w:hAnsi="仿宋_GB2312" w:cs="仿宋_GB2312" w:eastAsia="仿宋_GB2312"/>
                <w:sz w:val="21"/>
              </w:rPr>
              <w:t>G342印台周陵至金锁关公路、G108武功县城过境公路，项目估算价分别为3.62亿元、4.03亿元</w:t>
            </w:r>
            <w:r>
              <w:rPr>
                <w:rFonts w:ascii="仿宋_GB2312" w:hAnsi="仿宋_GB2312" w:cs="仿宋_GB2312" w:eastAsia="仿宋_GB2312"/>
                <w:sz w:val="21"/>
              </w:rPr>
              <w:t>；需审查省厅作为实施机构的</w:t>
            </w:r>
            <w:r>
              <w:rPr>
                <w:rFonts w:ascii="仿宋_GB2312" w:hAnsi="仿宋_GB2312" w:cs="仿宋_GB2312" w:eastAsia="仿宋_GB2312"/>
                <w:sz w:val="21"/>
              </w:rPr>
              <w:t>PPP高速公路项目设计回溯报告项目包括：延长至黄龙高速公路、宁陕至石泉高速公路、合阳至铜川高速公路、旬邑至凤翔高速公路、眉县至太白高速公路、鄠邑经周至至眉县高速公路、吴起至华池高速公路。</w:t>
            </w:r>
          </w:p>
          <w:p>
            <w:pPr>
              <w:pStyle w:val="null3"/>
              <w:ind w:firstLine="422"/>
              <w:jc w:val="both"/>
            </w:pPr>
            <w:r>
              <w:rPr>
                <w:rFonts w:ascii="仿宋_GB2312" w:hAnsi="仿宋_GB2312" w:cs="仿宋_GB2312" w:eastAsia="仿宋_GB2312"/>
                <w:sz w:val="21"/>
                <w:b/>
              </w:rPr>
              <w:t>1.2</w:t>
            </w:r>
            <w:r>
              <w:rPr>
                <w:rFonts w:ascii="仿宋_GB2312" w:hAnsi="仿宋_GB2312" w:cs="仿宋_GB2312" w:eastAsia="仿宋_GB2312"/>
                <w:sz w:val="21"/>
                <w:b/>
              </w:rPr>
              <w:t>咨询内容</w:t>
            </w:r>
          </w:p>
          <w:p>
            <w:pPr>
              <w:pStyle w:val="null3"/>
              <w:ind w:firstLine="420"/>
              <w:jc w:val="both"/>
            </w:pPr>
            <w:r>
              <w:rPr>
                <w:rFonts w:ascii="仿宋_GB2312" w:hAnsi="仿宋_GB2312" w:cs="仿宋_GB2312" w:eastAsia="仿宋_GB2312"/>
                <w:sz w:val="21"/>
              </w:rPr>
              <w:t>咨询人应提供以下技术咨询服务：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工程</w:t>
            </w:r>
            <w:r>
              <w:rPr>
                <w:rFonts w:ascii="仿宋_GB2312" w:hAnsi="仿宋_GB2312" w:cs="仿宋_GB2312" w:eastAsia="仿宋_GB2312"/>
                <w:sz w:val="21"/>
              </w:rPr>
              <w:t>勘察、设计依据的基本资料是否完整、准确、可靠，设计论证是否充分，计算是否可靠，是否符合系统运行安全的要求；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2）有关设计方案、特殊工点、施工方案和施工组织的可行性；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3）设计文件总体性和各专业间的衔接是否满足要求；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4）设计文件各专业是否满足先进、适用、安全、节能、消防、环境、美观、经济的原则；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设计文件深度及内容是否符合编制办法规定；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工程</w:t>
            </w:r>
            <w:r>
              <w:rPr>
                <w:rFonts w:ascii="仿宋_GB2312" w:hAnsi="仿宋_GB2312" w:cs="仿宋_GB2312" w:eastAsia="仿宋_GB2312"/>
                <w:sz w:val="21"/>
              </w:rPr>
              <w:t>勘察、设计是否符合国家现行有关法律、法规和政策；</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工程</w:t>
            </w:r>
            <w:r>
              <w:rPr>
                <w:rFonts w:ascii="仿宋_GB2312" w:hAnsi="仿宋_GB2312" w:cs="仿宋_GB2312" w:eastAsia="仿宋_GB2312"/>
                <w:sz w:val="21"/>
              </w:rPr>
              <w:t>勘察成果、设计文件是否符合交通行业规范、规程</w:t>
            </w:r>
            <w:r>
              <w:rPr>
                <w:rFonts w:ascii="仿宋_GB2312" w:hAnsi="仿宋_GB2312" w:cs="仿宋_GB2312" w:eastAsia="仿宋_GB2312"/>
                <w:sz w:val="21"/>
              </w:rPr>
              <w:t>、</w:t>
            </w:r>
            <w:r>
              <w:rPr>
                <w:rFonts w:ascii="仿宋_GB2312" w:hAnsi="仿宋_GB2312" w:cs="仿宋_GB2312" w:eastAsia="仿宋_GB2312"/>
                <w:sz w:val="21"/>
              </w:rPr>
              <w:t>技术标准和《公路工程基本建设项目设计文件编制办法》的要求，是否完全执行了</w:t>
            </w:r>
            <w:r>
              <w:rPr>
                <w:rFonts w:ascii="仿宋_GB2312" w:hAnsi="仿宋_GB2312" w:cs="仿宋_GB2312" w:eastAsia="仿宋_GB2312"/>
                <w:sz w:val="21"/>
              </w:rPr>
              <w:t>《工程建设标准强制性条文》</w:t>
            </w:r>
            <w:r>
              <w:rPr>
                <w:rFonts w:ascii="仿宋_GB2312" w:hAnsi="仿宋_GB2312" w:cs="仿宋_GB2312" w:eastAsia="仿宋_GB2312"/>
                <w:sz w:val="21"/>
              </w:rPr>
              <w:t>的规定；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工程</w:t>
            </w:r>
            <w:r>
              <w:rPr>
                <w:rFonts w:ascii="仿宋_GB2312" w:hAnsi="仿宋_GB2312" w:cs="仿宋_GB2312" w:eastAsia="仿宋_GB2312"/>
                <w:sz w:val="21"/>
              </w:rPr>
              <w:t>勘察成果、</w:t>
            </w:r>
            <w:r>
              <w:rPr>
                <w:rFonts w:ascii="仿宋_GB2312" w:hAnsi="仿宋_GB2312" w:cs="仿宋_GB2312" w:eastAsia="仿宋_GB2312"/>
                <w:sz w:val="21"/>
              </w:rPr>
              <w:t>初步</w:t>
            </w:r>
            <w:r>
              <w:rPr>
                <w:rFonts w:ascii="仿宋_GB2312" w:hAnsi="仿宋_GB2312" w:cs="仿宋_GB2312" w:eastAsia="仿宋_GB2312"/>
                <w:sz w:val="21"/>
              </w:rPr>
              <w:t>设计文件是否落实了</w:t>
            </w:r>
            <w:r>
              <w:rPr>
                <w:rFonts w:ascii="仿宋_GB2312" w:hAnsi="仿宋_GB2312" w:cs="仿宋_GB2312" w:eastAsia="仿宋_GB2312"/>
                <w:sz w:val="21"/>
              </w:rPr>
              <w:t>上阶段批复精神</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初步</w:t>
            </w:r>
            <w:r>
              <w:rPr>
                <w:rFonts w:ascii="仿宋_GB2312" w:hAnsi="仿宋_GB2312" w:cs="仿宋_GB2312" w:eastAsia="仿宋_GB2312"/>
                <w:sz w:val="21"/>
              </w:rPr>
              <w:t>设计文件是否</w:t>
            </w:r>
            <w:r>
              <w:rPr>
                <w:rFonts w:ascii="仿宋_GB2312" w:hAnsi="仿宋_GB2312" w:cs="仿宋_GB2312" w:eastAsia="仿宋_GB2312"/>
                <w:sz w:val="21"/>
              </w:rPr>
              <w:t>最大限度地维护了社会公众利益和保证公众安全</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）满足上述要求的前提下提出进一步优化建议，在不降低工程技术标准的前提下，尽可能</w:t>
            </w:r>
            <w:r>
              <w:rPr>
                <w:rFonts w:ascii="仿宋_GB2312" w:hAnsi="仿宋_GB2312" w:cs="仿宋_GB2312" w:eastAsia="仿宋_GB2312"/>
                <w:sz w:val="21"/>
              </w:rPr>
              <w:t>减少</w:t>
            </w:r>
            <w:r>
              <w:rPr>
                <w:rFonts w:ascii="仿宋_GB2312" w:hAnsi="仿宋_GB2312" w:cs="仿宋_GB2312" w:eastAsia="仿宋_GB2312"/>
                <w:sz w:val="21"/>
              </w:rPr>
              <w:t>工程造价；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编写技术咨询报告</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12）审查</w:t>
            </w:r>
            <w:r>
              <w:rPr>
                <w:rFonts w:ascii="仿宋_GB2312" w:hAnsi="仿宋_GB2312" w:cs="仿宋_GB2312" w:eastAsia="仿宋_GB2312"/>
                <w:sz w:val="21"/>
              </w:rPr>
              <w:t>设计回溯报告</w:t>
            </w:r>
            <w:r>
              <w:rPr>
                <w:rFonts w:ascii="仿宋_GB2312" w:hAnsi="仿宋_GB2312" w:cs="仿宋_GB2312" w:eastAsia="仿宋_GB2312"/>
                <w:sz w:val="21"/>
              </w:rPr>
              <w:t>深度是否满足省厅要求，出具审查意见报告。</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、服务要求</w:t>
            </w:r>
          </w:p>
          <w:p>
            <w:pPr>
              <w:pStyle w:val="null3"/>
              <w:ind w:firstLine="420"/>
              <w:jc w:val="both"/>
            </w:pPr>
            <w:r>
              <w:rPr>
                <w:rFonts w:ascii="仿宋_GB2312" w:hAnsi="仿宋_GB2312" w:cs="仿宋_GB2312" w:eastAsia="仿宋_GB2312"/>
                <w:sz w:val="21"/>
              </w:rPr>
              <w:t>按时限和要求保质保量完成</w:t>
            </w:r>
            <w:r>
              <w:rPr>
                <w:rFonts w:ascii="仿宋_GB2312" w:hAnsi="仿宋_GB2312" w:cs="仿宋_GB2312" w:eastAsia="仿宋_GB2312"/>
                <w:sz w:val="21"/>
              </w:rPr>
              <w:t>初步设计</w:t>
            </w:r>
            <w:r>
              <w:rPr>
                <w:rFonts w:ascii="仿宋_GB2312" w:hAnsi="仿宋_GB2312" w:cs="仿宋_GB2312" w:eastAsia="仿宋_GB2312"/>
                <w:sz w:val="21"/>
              </w:rPr>
              <w:t>文件</w:t>
            </w:r>
            <w:r>
              <w:rPr>
                <w:rFonts w:ascii="仿宋_GB2312" w:hAnsi="仿宋_GB2312" w:cs="仿宋_GB2312" w:eastAsia="仿宋_GB2312"/>
                <w:sz w:val="21"/>
              </w:rPr>
              <w:t>与设计回溯报告</w:t>
            </w:r>
            <w:r>
              <w:rPr>
                <w:rFonts w:ascii="仿宋_GB2312" w:hAnsi="仿宋_GB2312" w:cs="仿宋_GB2312" w:eastAsia="仿宋_GB2312"/>
                <w:sz w:val="21"/>
              </w:rPr>
              <w:t>审查，组织现场地质查勘，按时出具咨询和预算意见。</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、技术要求</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总则</w:t>
            </w:r>
          </w:p>
          <w:p>
            <w:pPr>
              <w:pStyle w:val="null3"/>
              <w:ind w:firstLine="420"/>
              <w:jc w:val="both"/>
            </w:pPr>
            <w:r>
              <w:rPr>
                <w:rFonts w:ascii="仿宋_GB2312" w:hAnsi="仿宋_GB2312" w:cs="仿宋_GB2312" w:eastAsia="仿宋_GB2312"/>
                <w:sz w:val="21"/>
              </w:rPr>
              <w:t>1.1本建设项目初步设计咨询评估服务工作应按照咨询人对初步设计（含重大、较大设计变更）审批咨询服务的程序进行。</w:t>
            </w:r>
          </w:p>
          <w:p>
            <w:pPr>
              <w:pStyle w:val="null3"/>
              <w:ind w:firstLine="420"/>
              <w:jc w:val="both"/>
            </w:pPr>
            <w:r>
              <w:rPr>
                <w:rFonts w:ascii="仿宋_GB2312" w:hAnsi="仿宋_GB2312" w:cs="仿宋_GB2312" w:eastAsia="仿宋_GB2312"/>
                <w:sz w:val="21"/>
              </w:rPr>
              <w:t>1.2技术咨询过程中的文件交接、重大问题沟通实行痕迹管理，关键环节的文件提交、意见交流等，应通过签字、传真或邮件等方式加以确认。</w:t>
            </w:r>
          </w:p>
          <w:p>
            <w:pPr>
              <w:pStyle w:val="null3"/>
              <w:ind w:firstLine="420"/>
              <w:jc w:val="both"/>
            </w:pPr>
            <w:r>
              <w:rPr>
                <w:rFonts w:ascii="仿宋_GB2312" w:hAnsi="仿宋_GB2312" w:cs="仿宋_GB2312" w:eastAsia="仿宋_GB2312"/>
                <w:sz w:val="21"/>
              </w:rPr>
              <w:t>1.3咨询人应严格执行国家和省厅有关规定，不得转嫁技术咨询工作成本。</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对咨询人的总体要求</w:t>
            </w:r>
          </w:p>
          <w:p>
            <w:pPr>
              <w:pStyle w:val="null3"/>
              <w:ind w:firstLine="420"/>
              <w:jc w:val="both"/>
            </w:pPr>
            <w:r>
              <w:rPr>
                <w:rFonts w:ascii="仿宋_GB2312" w:hAnsi="仿宋_GB2312" w:cs="仿宋_GB2312" w:eastAsia="仿宋_GB2312"/>
                <w:sz w:val="21"/>
              </w:rPr>
              <w:t>2.1承担技术咨询任务的咨询人，应结合本单位管理模式和发包人技术咨询任务的要求，在企业内部明确相应的技术咨询部门，建立明确的发包人技术咨询任务内部管理模式，理顺工作关系，建立健全质量保证体系，保证审查工作质量和进度。</w:t>
            </w:r>
          </w:p>
          <w:p>
            <w:pPr>
              <w:pStyle w:val="null3"/>
              <w:ind w:firstLine="420"/>
              <w:jc w:val="both"/>
            </w:pPr>
            <w:r>
              <w:rPr>
                <w:rFonts w:ascii="仿宋_GB2312" w:hAnsi="仿宋_GB2312" w:cs="仿宋_GB2312" w:eastAsia="仿宋_GB2312"/>
                <w:sz w:val="21"/>
              </w:rPr>
              <w:t>2.2咨询人应明确足够的、相对固定的技术人员，作为完成发包人技术咨询任务的基本力量。技术人员基本情况及变动情况在采购后发生变化时，应及时报发包人备案。咨询人应加强对参与发包人技术咨询任务技术人员（以下简称“审查人员”）的廉政、职业道德、法律知识和业务培训。</w:t>
            </w:r>
          </w:p>
          <w:p>
            <w:pPr>
              <w:pStyle w:val="null3"/>
              <w:ind w:firstLine="420"/>
              <w:jc w:val="both"/>
            </w:pPr>
            <w:r>
              <w:rPr>
                <w:rFonts w:ascii="仿宋_GB2312" w:hAnsi="仿宋_GB2312" w:cs="仿宋_GB2312" w:eastAsia="仿宋_GB2312"/>
                <w:sz w:val="21"/>
              </w:rPr>
              <w:t>2.3审查人员应当遵守国家法律法规，坚持原则，恪守职业道德，客观公正，责任心强，专业素质高，掌握公路工程技术标准、规范和有关技术政策，积极学习和了解国外先进的公路工程设计、施工和管理技术，能够熟练运用成熟技术和现代工程管理理念。</w:t>
            </w:r>
          </w:p>
          <w:p>
            <w:pPr>
              <w:pStyle w:val="null3"/>
              <w:ind w:firstLine="420"/>
              <w:jc w:val="both"/>
            </w:pPr>
            <w:r>
              <w:rPr>
                <w:rFonts w:ascii="仿宋_GB2312" w:hAnsi="仿宋_GB2312" w:cs="仿宋_GB2312" w:eastAsia="仿宋_GB2312"/>
                <w:sz w:val="21"/>
              </w:rPr>
              <w:t>2.4咨询人不得参与其承担</w:t>
            </w:r>
            <w:r>
              <w:rPr>
                <w:rFonts w:ascii="仿宋_GB2312" w:hAnsi="仿宋_GB2312" w:cs="仿宋_GB2312" w:eastAsia="仿宋_GB2312"/>
                <w:sz w:val="21"/>
              </w:rPr>
              <w:t>普通国省干线公路初步设计</w:t>
            </w:r>
            <w:r>
              <w:rPr>
                <w:rFonts w:ascii="仿宋_GB2312" w:hAnsi="仿宋_GB2312" w:cs="仿宋_GB2312" w:eastAsia="仿宋_GB2312"/>
                <w:sz w:val="21"/>
              </w:rPr>
              <w:t>技术咨询服务项目的其他任何采购活动。</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符合性审查</w:t>
            </w:r>
          </w:p>
          <w:p>
            <w:pPr>
              <w:pStyle w:val="null3"/>
              <w:ind w:firstLine="420"/>
              <w:jc w:val="both"/>
            </w:pPr>
            <w:r>
              <w:rPr>
                <w:rFonts w:ascii="仿宋_GB2312" w:hAnsi="仿宋_GB2312" w:cs="仿宋_GB2312" w:eastAsia="仿宋_GB2312"/>
                <w:sz w:val="21"/>
              </w:rPr>
              <w:t>3.1设计文件中明确对重大问题的意见，并附以下材料：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1）上阶段各类批复的复印件；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2）设计文件，包括综合地质勘察、工程测量、水文调查与计算和公路检测结果及评价报告等基础资料；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按《公路工程设计文件编制办法》、《公路工程特殊结构桥梁项目设计文件编制办法》规定需要完成的相关专题研究报告，包括安全风险评估报告、地震安全性评价报告、场地安全性评价报告及其审查意见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4）相关附件材料。包括计算书、相关协议等；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5）项目建设管理模式，项目建设管理法人、法人代表、项目负责人，建设单位派驻工程现场的管理机构、主要管理人员情况。</w:t>
            </w:r>
          </w:p>
          <w:p>
            <w:pPr>
              <w:pStyle w:val="null3"/>
              <w:ind w:firstLine="420"/>
              <w:jc w:val="both"/>
            </w:pPr>
            <w:r>
              <w:rPr>
                <w:rFonts w:ascii="仿宋_GB2312" w:hAnsi="仿宋_GB2312" w:cs="仿宋_GB2312" w:eastAsia="仿宋_GB2312"/>
                <w:sz w:val="21"/>
              </w:rPr>
              <w:t>3.2收到设计文件及相关资料后，咨询人应进行符合性审查。其中现场管理机构及主要人员情况的符合性审查由发包人完成，其他材料的符合性审查由咨询人完成。</w:t>
            </w:r>
          </w:p>
          <w:p>
            <w:pPr>
              <w:pStyle w:val="null3"/>
              <w:ind w:firstLine="420"/>
              <w:jc w:val="both"/>
            </w:pPr>
            <w:r>
              <w:rPr>
                <w:rFonts w:ascii="仿宋_GB2312" w:hAnsi="仿宋_GB2312" w:cs="仿宋_GB2312" w:eastAsia="仿宋_GB2312"/>
                <w:sz w:val="21"/>
              </w:rPr>
              <w:t>3.3设计文件符合性审查的内容主要包括：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1）上报文件完整性是否满足相关要求；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2）建设规模、技术标准等是否符合上阶段设计文件批复要求和《公路工程技术标准》的规定；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3）设计文件编制是否符合《公路工程设计文件编制办法》、《公路工程特殊结构桥梁项目设计文件编制办法》的要求；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4）地质勘察工作量是否满足《公路工程地质勘察规范》的基本要求及设计需要，项目勘察设计大纲及事先指导书、地质勘察指导书完整齐全。</w:t>
            </w:r>
          </w:p>
          <w:p>
            <w:pPr>
              <w:pStyle w:val="null3"/>
              <w:ind w:firstLine="420"/>
              <w:jc w:val="both"/>
            </w:pPr>
            <w:r>
              <w:rPr>
                <w:rFonts w:ascii="仿宋_GB2312" w:hAnsi="仿宋_GB2312" w:cs="仿宋_GB2312" w:eastAsia="仿宋_GB2312"/>
                <w:sz w:val="21"/>
              </w:rPr>
              <w:t>3.4符合性审查时间一般为3个工作日，特殊复杂项目应不超过5个工作日。</w:t>
            </w:r>
          </w:p>
          <w:p>
            <w:pPr>
              <w:pStyle w:val="null3"/>
              <w:ind w:firstLine="420"/>
              <w:jc w:val="both"/>
            </w:pPr>
            <w:r>
              <w:rPr>
                <w:rFonts w:ascii="仿宋_GB2312" w:hAnsi="仿宋_GB2312" w:cs="仿宋_GB2312" w:eastAsia="仿宋_GB2312"/>
                <w:sz w:val="21"/>
              </w:rPr>
              <w:t>3.5符合性审查认为上报文件基本齐全，但需要做局部补充的，应在符合性审查意见内明确全部需要补充的内容，要求补充；认为上报文件已经满足要求的，应随即开始正式审查。</w:t>
            </w:r>
          </w:p>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b/>
              </w:rPr>
              <w:t>设计文件审查</w:t>
            </w:r>
          </w:p>
          <w:p>
            <w:pPr>
              <w:pStyle w:val="null3"/>
              <w:ind w:firstLine="420"/>
              <w:jc w:val="both"/>
            </w:pPr>
            <w:r>
              <w:rPr>
                <w:rFonts w:ascii="仿宋_GB2312" w:hAnsi="仿宋_GB2312" w:cs="仿宋_GB2312" w:eastAsia="仿宋_GB2312"/>
                <w:sz w:val="21"/>
              </w:rPr>
              <w:t>4.1设计文件设计审查应按照“安全、耐久、节约、和谐”的原则，围绕保证项目建设、运营安全，合理使用资金和资源，最大限度的保护公众利益，使公路基础设施能够更好的为经济社会发展和出行需求服务这一目标，对方案合理性、运行安全性、结构可靠性进行审查。审查工作主要应包括但不限于以下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1）总体设计原则和思路的合理性，与建设环境和公路功能的适应性；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2）地质勘察等基础资料勘察、调查成果对地质条件和建设环境反映的全面性；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3）路线、特殊复杂结构、特殊复杂建设条件路段方案比选的合理性和全面性。专业工程方案比选的全面性，推荐方案的合理性，技术指标运用的合理性；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4）设计文件编制深度和格式，附件、协议等资料的齐全、完备情况。专业间设计的协调性，设计界面衔接情况，设计与外业勘察成果的衔接情况；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5）结构安全、耐久性。</w:t>
            </w:r>
          </w:p>
          <w:p>
            <w:pPr>
              <w:pStyle w:val="null3"/>
              <w:ind w:firstLine="420"/>
              <w:jc w:val="both"/>
            </w:pPr>
            <w:r>
              <w:rPr>
                <w:rFonts w:ascii="仿宋_GB2312" w:hAnsi="仿宋_GB2312" w:cs="仿宋_GB2312" w:eastAsia="仿宋_GB2312"/>
                <w:sz w:val="21"/>
              </w:rPr>
              <w:t>4.2审查时间从通过符合性审查的时间算起；需要补充材料的，应从材料补充齐全算起。一般项目的审查时间应不超过20 个工作日；特别复杂项目、需要计算复核的项目的审查时间应不超过30个工作日，具体审查时间由双方在合同协议书中约定。在完成初审后，应及时形成审查意见初稿，提出现场审查需了解的内容和应重点关注的主要问题。</w:t>
            </w:r>
          </w:p>
          <w:p>
            <w:pPr>
              <w:pStyle w:val="null3"/>
              <w:ind w:firstLine="420"/>
              <w:jc w:val="both"/>
            </w:pPr>
            <w:r>
              <w:rPr>
                <w:rFonts w:ascii="仿宋_GB2312" w:hAnsi="仿宋_GB2312" w:cs="仿宋_GB2312" w:eastAsia="仿宋_GB2312"/>
                <w:sz w:val="21"/>
              </w:rPr>
              <w:t>4.3审查过程中发现设计文件存在以下问题的，应及时与设计单位沟通核实。问题确认后，应及时报发包人，并提出处理建议。发包人将根据具体情况，要求设计单位补充完善，或退回要求重新修改后再次预审、报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1）总体设计不合理，与建设条件适应性差，或不能满足项目的功能要求；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2）方案比选不充分，遗漏重大有价值的技术方案；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3）设计工作与外业勘测成果严重脱节；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4）设计文件编制质量差，错漏多。</w:t>
            </w:r>
          </w:p>
          <w:p>
            <w:pPr>
              <w:pStyle w:val="null3"/>
              <w:ind w:firstLine="422"/>
              <w:jc w:val="both"/>
            </w:pPr>
            <w:r>
              <w:rPr>
                <w:rFonts w:ascii="仿宋_GB2312" w:hAnsi="仿宋_GB2312" w:cs="仿宋_GB2312" w:eastAsia="仿宋_GB2312"/>
                <w:sz w:val="21"/>
                <w:b/>
              </w:rPr>
              <w:t>5.</w:t>
            </w:r>
            <w:r>
              <w:rPr>
                <w:rFonts w:ascii="仿宋_GB2312" w:hAnsi="仿宋_GB2312" w:cs="仿宋_GB2312" w:eastAsia="仿宋_GB2312"/>
                <w:sz w:val="21"/>
                <w:b/>
              </w:rPr>
              <w:t>现场审查</w:t>
            </w:r>
          </w:p>
          <w:p>
            <w:pPr>
              <w:pStyle w:val="null3"/>
              <w:ind w:firstLine="420"/>
              <w:jc w:val="both"/>
            </w:pPr>
            <w:r>
              <w:rPr>
                <w:rFonts w:ascii="仿宋_GB2312" w:hAnsi="仿宋_GB2312" w:cs="仿宋_GB2312" w:eastAsia="仿宋_GB2312"/>
                <w:sz w:val="21"/>
              </w:rPr>
              <w:t>5.1现场审查工作在设计文件审查完成后进行，由发包人主持。现场审查应听取设计单位的设计情况汇报、地质勘察专题汇报和其他必要的专题汇报，对重要工点和有争议的工点进行现场踏查。应现场完成审查意见，并分总体、路线、路基路面、桥梁、隧道、路线交叉、交通工程及沿线设施等专业现场向省级交通运输主管部门及设计单位反馈意见，提出本阶段需补充完成的工作。</w:t>
            </w:r>
          </w:p>
          <w:p>
            <w:pPr>
              <w:pStyle w:val="null3"/>
              <w:ind w:firstLine="420"/>
              <w:jc w:val="both"/>
            </w:pPr>
            <w:r>
              <w:rPr>
                <w:rFonts w:ascii="仿宋_GB2312" w:hAnsi="仿宋_GB2312" w:cs="仿宋_GB2312" w:eastAsia="仿宋_GB2312"/>
                <w:sz w:val="21"/>
              </w:rPr>
              <w:t>5.2收到补充文件后，咨询人应首先确认补充文件的内容是否满足现场审查提出的要求，不满足时应及时提出并反馈给省级交通运输主管部门。确认结果应报发包人。</w:t>
            </w:r>
          </w:p>
          <w:p>
            <w:pPr>
              <w:pStyle w:val="null3"/>
              <w:ind w:firstLine="420"/>
              <w:jc w:val="both"/>
            </w:pPr>
            <w:r>
              <w:rPr>
                <w:rFonts w:ascii="仿宋_GB2312" w:hAnsi="仿宋_GB2312" w:cs="仿宋_GB2312" w:eastAsia="仿宋_GB2312"/>
                <w:sz w:val="21"/>
              </w:rPr>
              <w:t>5.3补充文件满足现场审查要求的，咨询人应在 15 个工作日内完成审查工作，形成正式咨询报告报发包人。对于工程规模大、建设条件复杂或需要再次验算的，形成正式审查报告的时间应不超过 20 个工作日。具体审查时间由双方在合同协议书中约定。</w:t>
            </w:r>
          </w:p>
          <w:p>
            <w:pPr>
              <w:pStyle w:val="null3"/>
              <w:ind w:firstLine="422"/>
              <w:jc w:val="both"/>
            </w:pPr>
            <w:r>
              <w:rPr>
                <w:rFonts w:ascii="仿宋_GB2312" w:hAnsi="仿宋_GB2312" w:cs="仿宋_GB2312" w:eastAsia="仿宋_GB2312"/>
                <w:sz w:val="21"/>
                <w:b/>
              </w:rPr>
              <w:t>6.提交咨询报告</w:t>
            </w:r>
          </w:p>
          <w:p>
            <w:pPr>
              <w:pStyle w:val="null3"/>
              <w:ind w:firstLine="420"/>
              <w:jc w:val="both"/>
            </w:pPr>
            <w:r>
              <w:rPr>
                <w:rFonts w:ascii="仿宋_GB2312" w:hAnsi="仿宋_GB2312" w:cs="仿宋_GB2312" w:eastAsia="仿宋_GB2312"/>
                <w:sz w:val="21"/>
              </w:rPr>
              <w:t>6.1审查报告应结构清晰，内容精干，符合国家有关政策导向。能够清晰描述工程全貌，准确定性设计存在的问题，明确提出对相关技术问题的意见。提出的建议应科学合理、论证清晰。报告格式符合发包人要求。</w:t>
            </w:r>
          </w:p>
          <w:p>
            <w:pPr>
              <w:pStyle w:val="null3"/>
              <w:ind w:firstLine="422"/>
              <w:jc w:val="both"/>
            </w:pPr>
            <w:r>
              <w:rPr>
                <w:rFonts w:ascii="仿宋_GB2312" w:hAnsi="仿宋_GB2312" w:cs="仿宋_GB2312" w:eastAsia="仿宋_GB2312"/>
                <w:sz w:val="21"/>
                <w:b/>
              </w:rPr>
              <w:t>7.报告核查</w:t>
            </w:r>
          </w:p>
          <w:p>
            <w:pPr>
              <w:pStyle w:val="null3"/>
              <w:ind w:firstLine="420"/>
              <w:jc w:val="both"/>
            </w:pPr>
            <w:r>
              <w:rPr>
                <w:rFonts w:ascii="仿宋_GB2312" w:hAnsi="仿宋_GB2312" w:cs="仿宋_GB2312" w:eastAsia="仿宋_GB2312"/>
                <w:sz w:val="21"/>
              </w:rPr>
              <w:t>7.1收到正式咨询报告后，发包人相关承办人应对咨询报告内容进行核查，对存在问题和不足的，应要求咨询人予以补充和完善。</w:t>
            </w:r>
          </w:p>
          <w:p>
            <w:pPr>
              <w:pStyle w:val="null3"/>
              <w:ind w:firstLine="422"/>
              <w:jc w:val="both"/>
            </w:pPr>
            <w:r>
              <w:rPr>
                <w:rFonts w:ascii="仿宋_GB2312" w:hAnsi="仿宋_GB2312" w:cs="仿宋_GB2312" w:eastAsia="仿宋_GB2312"/>
                <w:sz w:val="21"/>
                <w:b/>
              </w:rPr>
              <w:t>8</w:t>
            </w:r>
            <w:r>
              <w:rPr>
                <w:rFonts w:ascii="仿宋_GB2312" w:hAnsi="仿宋_GB2312" w:cs="仿宋_GB2312" w:eastAsia="仿宋_GB2312"/>
                <w:sz w:val="21"/>
                <w:b/>
              </w:rPr>
              <w:t>.设计回溯报告</w:t>
            </w:r>
            <w:r>
              <w:rPr>
                <w:rFonts w:ascii="仿宋_GB2312" w:hAnsi="仿宋_GB2312" w:cs="仿宋_GB2312" w:eastAsia="仿宋_GB2312"/>
                <w:sz w:val="21"/>
                <w:b/>
              </w:rPr>
              <w:t>审查</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.1设计回溯报告</w:t>
            </w:r>
            <w:r>
              <w:rPr>
                <w:rFonts w:ascii="仿宋_GB2312" w:hAnsi="仿宋_GB2312" w:cs="仿宋_GB2312" w:eastAsia="仿宋_GB2312"/>
                <w:sz w:val="21"/>
              </w:rPr>
              <w:t>应评估原设计方案的防灾抗灾适应能力，应对风险隐患工点设计资料进行全面核查，分析存在问题，评估原设计方案的防灾抗灾适应能力，提出有效处治建议</w:t>
            </w:r>
            <w:r>
              <w:rPr>
                <w:rFonts w:ascii="仿宋_GB2312" w:hAnsi="仿宋_GB2312" w:cs="仿宋_GB2312" w:eastAsia="仿宋_GB2312"/>
                <w:sz w:val="21"/>
              </w:rPr>
              <w:t>。</w:t>
            </w:r>
            <w:r>
              <w:rPr>
                <w:rFonts w:ascii="仿宋_GB2312" w:hAnsi="仿宋_GB2312" w:cs="仿宋_GB2312" w:eastAsia="仿宋_GB2312"/>
                <w:sz w:val="21"/>
              </w:rPr>
              <w:t>咨询人员应《陕西省高速公路防灾抗灾设计回溯工作指南》《进一步提升高速公路防灾抗灾能力设计回溯工作方案》等相关要求对设计</w:t>
            </w:r>
            <w:r>
              <w:rPr>
                <w:rFonts w:ascii="仿宋_GB2312" w:hAnsi="仿宋_GB2312" w:cs="仿宋_GB2312" w:eastAsia="仿宋_GB2312"/>
                <w:sz w:val="21"/>
              </w:rPr>
              <w:t>回溯报告</w:t>
            </w:r>
            <w:r>
              <w:rPr>
                <w:rFonts w:ascii="仿宋_GB2312" w:hAnsi="仿宋_GB2312" w:cs="仿宋_GB2312" w:eastAsia="仿宋_GB2312"/>
                <w:sz w:val="21"/>
              </w:rPr>
              <w:t>进行全面审查。</w:t>
            </w:r>
          </w:p>
          <w:p>
            <w:pPr>
              <w:pStyle w:val="null3"/>
              <w:numPr>
                <w:ilvl w:val="0"/>
                <w:numId w:val="1"/>
              </w:numPr>
              <w:jc w:val="both"/>
            </w:pPr>
            <w:r>
              <w:rPr>
                <w:rFonts w:ascii="仿宋_GB2312" w:hAnsi="仿宋_GB2312" w:cs="仿宋_GB2312" w:eastAsia="仿宋_GB2312"/>
                <w:sz w:val="21"/>
                <w:b/>
              </w:rPr>
              <w:t>人员配置要求</w:t>
            </w:r>
          </w:p>
          <w:p>
            <w:pPr>
              <w:pStyle w:val="null3"/>
              <w:numPr>
                <w:ilvl w:val="0"/>
                <w:numId w:val="2"/>
              </w:numPr>
              <w:jc w:val="both"/>
            </w:pPr>
            <w:r>
              <w:rPr>
                <w:rFonts w:ascii="仿宋_GB2312" w:hAnsi="仿宋_GB2312" w:cs="仿宋_GB2312" w:eastAsia="仿宋_GB2312"/>
                <w:sz w:val="21"/>
              </w:rPr>
              <w:t>项目负责人</w:t>
            </w:r>
            <w:r>
              <w:rPr>
                <w:rFonts w:ascii="仿宋_GB2312" w:hAnsi="仿宋_GB2312" w:cs="仿宋_GB2312" w:eastAsia="仿宋_GB2312"/>
                <w:sz w:val="21"/>
              </w:rPr>
              <w:t>：</w:t>
            </w:r>
            <w:r>
              <w:rPr>
                <w:rFonts w:ascii="仿宋_GB2312" w:hAnsi="仿宋_GB2312" w:cs="仿宋_GB2312" w:eastAsia="仿宋_GB2312"/>
                <w:sz w:val="21"/>
              </w:rPr>
              <w:t>1人，</w:t>
            </w:r>
            <w:r>
              <w:rPr>
                <w:rFonts w:ascii="仿宋_GB2312" w:hAnsi="仿宋_GB2312" w:cs="仿宋_GB2312" w:eastAsia="仿宋_GB2312"/>
                <w:sz w:val="21"/>
              </w:rPr>
              <w:t>高级工程师及以上，近</w:t>
            </w:r>
            <w:r>
              <w:rPr>
                <w:rFonts w:ascii="仿宋_GB2312" w:hAnsi="仿宋_GB2312" w:cs="仿宋_GB2312" w:eastAsia="仿宋_GB2312"/>
                <w:sz w:val="21"/>
              </w:rPr>
              <w:t>5年担任过2条国省干线及以上公路工程设计咨询审查项目负责人，且为本单位在职人员。</w:t>
            </w:r>
          </w:p>
          <w:p>
            <w:pPr>
              <w:pStyle w:val="null3"/>
              <w:numPr>
                <w:ilvl w:val="0"/>
                <w:numId w:val="2"/>
              </w:numPr>
              <w:jc w:val="both"/>
            </w:pPr>
            <w:r>
              <w:rPr>
                <w:rFonts w:ascii="仿宋_GB2312" w:hAnsi="仿宋_GB2312" w:cs="仿宋_GB2312" w:eastAsia="仿宋_GB2312"/>
                <w:sz w:val="21"/>
              </w:rPr>
              <w:t>工程地质</w:t>
            </w:r>
            <w:r>
              <w:rPr>
                <w:rFonts w:ascii="仿宋_GB2312" w:hAnsi="仿宋_GB2312" w:cs="仿宋_GB2312" w:eastAsia="仿宋_GB2312"/>
                <w:sz w:val="21"/>
              </w:rPr>
              <w:t>：</w:t>
            </w:r>
            <w:r>
              <w:rPr>
                <w:rFonts w:ascii="仿宋_GB2312" w:hAnsi="仿宋_GB2312" w:cs="仿宋_GB2312" w:eastAsia="仿宋_GB2312"/>
                <w:sz w:val="21"/>
              </w:rPr>
              <w:t>1人，</w:t>
            </w:r>
            <w:r>
              <w:rPr>
                <w:rFonts w:ascii="仿宋_GB2312" w:hAnsi="仿宋_GB2312" w:cs="仿宋_GB2312" w:eastAsia="仿宋_GB2312"/>
                <w:sz w:val="21"/>
              </w:rPr>
              <w:t>高级工程师及以上，近</w:t>
            </w:r>
            <w:r>
              <w:rPr>
                <w:rFonts w:ascii="仿宋_GB2312" w:hAnsi="仿宋_GB2312" w:cs="仿宋_GB2312" w:eastAsia="仿宋_GB2312"/>
                <w:sz w:val="21"/>
              </w:rPr>
              <w:t>5年担任过2条以上国省干线及以上公路工程相应专业项目设计咨询审查工作。</w:t>
            </w:r>
          </w:p>
          <w:p>
            <w:pPr>
              <w:pStyle w:val="null3"/>
              <w:numPr>
                <w:ilvl w:val="0"/>
                <w:numId w:val="2"/>
              </w:numPr>
              <w:jc w:val="both"/>
            </w:pPr>
            <w:r>
              <w:rPr>
                <w:rFonts w:ascii="仿宋_GB2312" w:hAnsi="仿宋_GB2312" w:cs="仿宋_GB2312" w:eastAsia="仿宋_GB2312"/>
                <w:sz w:val="21"/>
              </w:rPr>
              <w:t>路线</w:t>
            </w:r>
            <w:r>
              <w:rPr>
                <w:rFonts w:ascii="仿宋_GB2312" w:hAnsi="仿宋_GB2312" w:cs="仿宋_GB2312" w:eastAsia="仿宋_GB2312"/>
                <w:sz w:val="21"/>
              </w:rPr>
              <w:t>：</w:t>
            </w:r>
            <w:r>
              <w:rPr>
                <w:rFonts w:ascii="仿宋_GB2312" w:hAnsi="仿宋_GB2312" w:cs="仿宋_GB2312" w:eastAsia="仿宋_GB2312"/>
                <w:sz w:val="21"/>
              </w:rPr>
              <w:t>1人，</w:t>
            </w:r>
            <w:r>
              <w:rPr>
                <w:rFonts w:ascii="仿宋_GB2312" w:hAnsi="仿宋_GB2312" w:cs="仿宋_GB2312" w:eastAsia="仿宋_GB2312"/>
                <w:sz w:val="21"/>
              </w:rPr>
              <w:t>高级工程师及以上，近</w:t>
            </w:r>
            <w:r>
              <w:rPr>
                <w:rFonts w:ascii="仿宋_GB2312" w:hAnsi="仿宋_GB2312" w:cs="仿宋_GB2312" w:eastAsia="仿宋_GB2312"/>
                <w:sz w:val="21"/>
              </w:rPr>
              <w:t>5年担任过2条国省干线及以上公路工程相应专业设计咨询审查工作。</w:t>
            </w:r>
          </w:p>
          <w:p>
            <w:pPr>
              <w:pStyle w:val="null3"/>
              <w:numPr>
                <w:ilvl w:val="0"/>
                <w:numId w:val="2"/>
              </w:numPr>
              <w:jc w:val="both"/>
            </w:pPr>
            <w:r>
              <w:rPr>
                <w:rFonts w:ascii="仿宋_GB2312" w:hAnsi="仿宋_GB2312" w:cs="仿宋_GB2312" w:eastAsia="仿宋_GB2312"/>
                <w:sz w:val="21"/>
              </w:rPr>
              <w:t>路基路面</w:t>
            </w:r>
            <w:r>
              <w:rPr>
                <w:rFonts w:ascii="仿宋_GB2312" w:hAnsi="仿宋_GB2312" w:cs="仿宋_GB2312" w:eastAsia="仿宋_GB2312"/>
                <w:sz w:val="21"/>
              </w:rPr>
              <w:t>：</w:t>
            </w:r>
            <w:r>
              <w:rPr>
                <w:rFonts w:ascii="仿宋_GB2312" w:hAnsi="仿宋_GB2312" w:cs="仿宋_GB2312" w:eastAsia="仿宋_GB2312"/>
                <w:sz w:val="21"/>
              </w:rPr>
              <w:t>1人，</w:t>
            </w:r>
            <w:r>
              <w:rPr>
                <w:rFonts w:ascii="仿宋_GB2312" w:hAnsi="仿宋_GB2312" w:cs="仿宋_GB2312" w:eastAsia="仿宋_GB2312"/>
                <w:sz w:val="21"/>
              </w:rPr>
              <w:t>高级工程师及以上，近</w:t>
            </w:r>
            <w:r>
              <w:rPr>
                <w:rFonts w:ascii="仿宋_GB2312" w:hAnsi="仿宋_GB2312" w:cs="仿宋_GB2312" w:eastAsia="仿宋_GB2312"/>
                <w:sz w:val="21"/>
              </w:rPr>
              <w:t>5年担任过2条国省干线及以上公路工程相应专业设计咨询审查工作。</w:t>
            </w:r>
          </w:p>
          <w:p>
            <w:pPr>
              <w:pStyle w:val="null3"/>
              <w:numPr>
                <w:ilvl w:val="0"/>
                <w:numId w:val="2"/>
              </w:numPr>
              <w:jc w:val="both"/>
            </w:pPr>
            <w:r>
              <w:rPr>
                <w:rFonts w:ascii="仿宋_GB2312" w:hAnsi="仿宋_GB2312" w:cs="仿宋_GB2312" w:eastAsia="仿宋_GB2312"/>
                <w:sz w:val="21"/>
              </w:rPr>
              <w:t>桥涵</w:t>
            </w:r>
            <w:r>
              <w:rPr>
                <w:rFonts w:ascii="仿宋_GB2312" w:hAnsi="仿宋_GB2312" w:cs="仿宋_GB2312" w:eastAsia="仿宋_GB2312"/>
                <w:sz w:val="21"/>
              </w:rPr>
              <w:t>：</w:t>
            </w:r>
            <w:r>
              <w:rPr>
                <w:rFonts w:ascii="仿宋_GB2312" w:hAnsi="仿宋_GB2312" w:cs="仿宋_GB2312" w:eastAsia="仿宋_GB2312"/>
                <w:sz w:val="21"/>
              </w:rPr>
              <w:t>1人，</w:t>
            </w:r>
            <w:r>
              <w:rPr>
                <w:rFonts w:ascii="仿宋_GB2312" w:hAnsi="仿宋_GB2312" w:cs="仿宋_GB2312" w:eastAsia="仿宋_GB2312"/>
                <w:sz w:val="21"/>
              </w:rPr>
              <w:t>高级工程师及以上，近</w:t>
            </w:r>
            <w:r>
              <w:rPr>
                <w:rFonts w:ascii="仿宋_GB2312" w:hAnsi="仿宋_GB2312" w:cs="仿宋_GB2312" w:eastAsia="仿宋_GB2312"/>
                <w:sz w:val="21"/>
              </w:rPr>
              <w:t>5年担任过2条国省干线及以上公路工程相应专业设计咨询审查工作。</w:t>
            </w:r>
          </w:p>
          <w:p>
            <w:pPr>
              <w:pStyle w:val="null3"/>
              <w:numPr>
                <w:ilvl w:val="0"/>
                <w:numId w:val="2"/>
              </w:numPr>
              <w:jc w:val="both"/>
            </w:pPr>
            <w:r>
              <w:rPr>
                <w:rFonts w:ascii="仿宋_GB2312" w:hAnsi="仿宋_GB2312" w:cs="仿宋_GB2312" w:eastAsia="仿宋_GB2312"/>
                <w:sz w:val="21"/>
              </w:rPr>
              <w:t>隧道</w:t>
            </w:r>
            <w:r>
              <w:rPr>
                <w:rFonts w:ascii="仿宋_GB2312" w:hAnsi="仿宋_GB2312" w:cs="仿宋_GB2312" w:eastAsia="仿宋_GB2312"/>
                <w:sz w:val="21"/>
              </w:rPr>
              <w:t>：</w:t>
            </w:r>
            <w:r>
              <w:rPr>
                <w:rFonts w:ascii="仿宋_GB2312" w:hAnsi="仿宋_GB2312" w:cs="仿宋_GB2312" w:eastAsia="仿宋_GB2312"/>
                <w:sz w:val="21"/>
              </w:rPr>
              <w:t>1人，</w:t>
            </w:r>
            <w:r>
              <w:rPr>
                <w:rFonts w:ascii="仿宋_GB2312" w:hAnsi="仿宋_GB2312" w:cs="仿宋_GB2312" w:eastAsia="仿宋_GB2312"/>
                <w:sz w:val="21"/>
              </w:rPr>
              <w:t>高级工程师及以上，近</w:t>
            </w:r>
            <w:r>
              <w:rPr>
                <w:rFonts w:ascii="仿宋_GB2312" w:hAnsi="仿宋_GB2312" w:cs="仿宋_GB2312" w:eastAsia="仿宋_GB2312"/>
                <w:sz w:val="21"/>
              </w:rPr>
              <w:t>5年担任过2条国省干线及以上公路工程相应专业设计咨询审查工作。</w:t>
            </w:r>
          </w:p>
          <w:p>
            <w:pPr>
              <w:pStyle w:val="null3"/>
              <w:numPr>
                <w:ilvl w:val="0"/>
                <w:numId w:val="2"/>
              </w:numPr>
              <w:jc w:val="both"/>
            </w:pPr>
            <w:r>
              <w:rPr>
                <w:rFonts w:ascii="仿宋_GB2312" w:hAnsi="仿宋_GB2312" w:cs="仿宋_GB2312" w:eastAsia="仿宋_GB2312"/>
                <w:sz w:val="21"/>
              </w:rPr>
              <w:t>互通立交</w:t>
            </w:r>
            <w:r>
              <w:rPr>
                <w:rFonts w:ascii="仿宋_GB2312" w:hAnsi="仿宋_GB2312" w:cs="仿宋_GB2312" w:eastAsia="仿宋_GB2312"/>
                <w:sz w:val="21"/>
              </w:rPr>
              <w:t>：</w:t>
            </w:r>
            <w:r>
              <w:rPr>
                <w:rFonts w:ascii="仿宋_GB2312" w:hAnsi="仿宋_GB2312" w:cs="仿宋_GB2312" w:eastAsia="仿宋_GB2312"/>
                <w:sz w:val="21"/>
              </w:rPr>
              <w:t>1人，</w:t>
            </w:r>
            <w:r>
              <w:rPr>
                <w:rFonts w:ascii="仿宋_GB2312" w:hAnsi="仿宋_GB2312" w:cs="仿宋_GB2312" w:eastAsia="仿宋_GB2312"/>
                <w:sz w:val="21"/>
              </w:rPr>
              <w:t>高级工程师及以上，近</w:t>
            </w:r>
            <w:r>
              <w:rPr>
                <w:rFonts w:ascii="仿宋_GB2312" w:hAnsi="仿宋_GB2312" w:cs="仿宋_GB2312" w:eastAsia="仿宋_GB2312"/>
                <w:sz w:val="21"/>
              </w:rPr>
              <w:t>5年担任过2条国省干线及以上公路工程相应专业设计咨询审查工作。</w:t>
            </w:r>
          </w:p>
          <w:p>
            <w:pPr>
              <w:pStyle w:val="null3"/>
              <w:numPr>
                <w:ilvl w:val="0"/>
                <w:numId w:val="2"/>
              </w:numPr>
              <w:jc w:val="both"/>
            </w:pPr>
            <w:r>
              <w:rPr>
                <w:rFonts w:ascii="仿宋_GB2312" w:hAnsi="仿宋_GB2312" w:cs="仿宋_GB2312" w:eastAsia="仿宋_GB2312"/>
                <w:sz w:val="21"/>
              </w:rPr>
              <w:t>交通工程及沿线设施</w:t>
            </w:r>
            <w:r>
              <w:rPr>
                <w:rFonts w:ascii="仿宋_GB2312" w:hAnsi="仿宋_GB2312" w:cs="仿宋_GB2312" w:eastAsia="仿宋_GB2312"/>
                <w:sz w:val="21"/>
              </w:rPr>
              <w:t>：</w:t>
            </w:r>
            <w:r>
              <w:rPr>
                <w:rFonts w:ascii="仿宋_GB2312" w:hAnsi="仿宋_GB2312" w:cs="仿宋_GB2312" w:eastAsia="仿宋_GB2312"/>
                <w:sz w:val="21"/>
              </w:rPr>
              <w:t>1人，</w:t>
            </w:r>
            <w:r>
              <w:rPr>
                <w:rFonts w:ascii="仿宋_GB2312" w:hAnsi="仿宋_GB2312" w:cs="仿宋_GB2312" w:eastAsia="仿宋_GB2312"/>
                <w:sz w:val="21"/>
              </w:rPr>
              <w:t>高级工程师及以上，近</w:t>
            </w:r>
            <w:r>
              <w:rPr>
                <w:rFonts w:ascii="仿宋_GB2312" w:hAnsi="仿宋_GB2312" w:cs="仿宋_GB2312" w:eastAsia="仿宋_GB2312"/>
                <w:sz w:val="21"/>
              </w:rPr>
              <w:t>5年担任过2条国省干线及以上公路工程相应专业设计咨询审查工作。</w:t>
            </w:r>
          </w:p>
          <w:p>
            <w:pPr>
              <w:pStyle w:val="null3"/>
              <w:jc w:val="both"/>
            </w:pPr>
            <w:r>
              <w:rPr>
                <w:rFonts w:ascii="仿宋_GB2312" w:hAnsi="仿宋_GB2312" w:cs="仿宋_GB2312" w:eastAsia="仿宋_GB2312"/>
                <w:sz w:val="20"/>
                <w:b/>
              </w:rPr>
              <w:t>备注：</w:t>
            </w:r>
            <w:r>
              <w:rPr>
                <w:rFonts w:ascii="仿宋_GB2312" w:hAnsi="仿宋_GB2312" w:cs="仿宋_GB2312" w:eastAsia="仿宋_GB2312"/>
                <w:sz w:val="20"/>
                <w:b/>
              </w:rPr>
              <w:t>以上人员</w:t>
            </w:r>
            <w:r>
              <w:rPr>
                <w:rFonts w:ascii="仿宋_GB2312" w:hAnsi="仿宋_GB2312" w:cs="仿宋_GB2312" w:eastAsia="仿宋_GB2312"/>
                <w:sz w:val="20"/>
                <w:b/>
              </w:rPr>
              <w:t>近</w:t>
            </w:r>
            <w:r>
              <w:rPr>
                <w:rFonts w:ascii="仿宋_GB2312" w:hAnsi="仿宋_GB2312" w:cs="仿宋_GB2312" w:eastAsia="仿宋_GB2312"/>
                <w:sz w:val="20"/>
                <w:b/>
              </w:rPr>
              <w:t>5年均指20</w:t>
            </w:r>
            <w:r>
              <w:rPr>
                <w:rFonts w:ascii="仿宋_GB2312" w:hAnsi="仿宋_GB2312" w:cs="仿宋_GB2312" w:eastAsia="仿宋_GB2312"/>
                <w:sz w:val="20"/>
                <w:b/>
              </w:rPr>
              <w:t>20</w:t>
            </w:r>
            <w:r>
              <w:rPr>
                <w:rFonts w:ascii="仿宋_GB2312" w:hAnsi="仿宋_GB2312" w:cs="仿宋_GB2312" w:eastAsia="仿宋_GB2312"/>
                <w:sz w:val="20"/>
                <w:b/>
              </w:rPr>
              <w:t>年</w:t>
            </w:r>
            <w:r>
              <w:rPr>
                <w:rFonts w:ascii="仿宋_GB2312" w:hAnsi="仿宋_GB2312" w:cs="仿宋_GB2312" w:eastAsia="仿宋_GB2312"/>
                <w:sz w:val="20"/>
                <w:b/>
              </w:rPr>
              <w:t>4月1日至今有效社保证明应提供202</w:t>
            </w:r>
            <w:r>
              <w:rPr>
                <w:rFonts w:ascii="仿宋_GB2312" w:hAnsi="仿宋_GB2312" w:cs="仿宋_GB2312" w:eastAsia="仿宋_GB2312"/>
                <w:sz w:val="20"/>
                <w:b/>
              </w:rPr>
              <w:t>4</w:t>
            </w:r>
            <w:r>
              <w:rPr>
                <w:rFonts w:ascii="仿宋_GB2312" w:hAnsi="仿宋_GB2312" w:cs="仿宋_GB2312" w:eastAsia="仿宋_GB2312"/>
                <w:sz w:val="20"/>
                <w:b/>
              </w:rPr>
              <w:t>年</w:t>
            </w:r>
            <w:r>
              <w:rPr>
                <w:rFonts w:ascii="仿宋_GB2312" w:hAnsi="仿宋_GB2312" w:cs="仿宋_GB2312" w:eastAsia="仿宋_GB2312"/>
                <w:sz w:val="20"/>
                <w:b/>
              </w:rPr>
              <w:t>-202</w:t>
            </w:r>
            <w:r>
              <w:rPr>
                <w:rFonts w:ascii="仿宋_GB2312" w:hAnsi="仿宋_GB2312" w:cs="仿宋_GB2312" w:eastAsia="仿宋_GB2312"/>
                <w:sz w:val="20"/>
                <w:b/>
              </w:rPr>
              <w:t>5</w:t>
            </w:r>
            <w:r>
              <w:rPr>
                <w:rFonts w:ascii="仿宋_GB2312" w:hAnsi="仿宋_GB2312" w:cs="仿宋_GB2312" w:eastAsia="仿宋_GB2312"/>
                <w:sz w:val="20"/>
                <w:b/>
              </w:rPr>
              <w:t>年任意连续三个月的社保证明。</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详见上述第四条：人员配置要求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验收标准（服务标准）：评审结果满足现行的技术规范、规程、指南要求，达到采购人技术咨询目的，通过采购人审查和验收。 验收方法：由供应商进行自检合格后，准备验收文件，并书面通知采购人。 采购人确认供应商能够达到合同履约要求后，组织供应商（必要时请有关专家）进行项目验收，验收合格后，填写项目验收单作为对项目的最终认可。 供应商向采购人提交项目实施过程中的所有资料,以便采购人日后管理和维护该项目。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双方签署合同后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提交项目全部成果</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甲方原因造成乙方停工、返工及合同停止，乙方不承担违约责任。2．乙方未经甲方同意将项目中的部分工作任务分包给第三方，或将项目转包给第三方承担，甲方有权要求乙方予以纠正或解除合同，并有权要求乙方按照合同总金额的向5%甲方承担违约责任，并赔偿给甲方造成的一切损失。 3．乙方向甲方提交的所有资料成果必须保证真实可靠，一经发现存在弄虚作假的行为，甲方有权追索项目款，解除合同，乙方应按照合同总金额的20%向甲方承担违约责任。4．除上述情况，对本合同的任何违反均构成违约。当一方认为对方的违约属于严重违约时，若按照相关法律规定或按照通常的理解或认识，确属对合同的履行有重大影响，则应当被认为属于严重违约。若双方对某一违约是否属于严重违约仍有争议，可以由采购人所在地司法机构解决。5．若乙方未如期按照合同约定的任何／或全部款项内容之要求提供服务及／或乙方未能履行合同规定的任何其它义务时，甲方有权直接向乙方发出违约通知书，同时乙方还应承担由此发生的相关费用并承担由此给甲方造成的直接损失及甲方因此产生的对第三方的责任。6．如果乙方在收到甲方的违约通知书后十日内未作答复，甲方有权解除合同，乙方应按照合同总金额的20%向甲方承担违约责任，并赔偿给甲方造成的一切损失。7．若发生上述情形之外的任何违约时，违约方在接到对方关于违约的通知时，均应当就每一项违约向对方支付相当于合同金额5%的违约金。当违约行为给对方造成损失时，若违约金不足以弥补全部损失，违约方还应当赔偿对方因此所受全部损失。当构成严重违约时，对方可以单方面决定解除或终止合同履行，违约方同时还应当承担违约及／或赔偿责任。8．如果乙方延期提供服务（包括阶段性时间），延误罚款为合同金额0.5%元/天。累计罚款超过合同金额10%或延期服务超过20天，甲方有权终止合同，并有权要求乙方承担甲方因此所受的全部损失。9．在本项目过程中，如果甲方要求，乙方应立即从现场撤出甲方认为不能恰当地履行其职责或有不当行为的人员，且应尽快替换以称职的人员。10.以上各项交付的违约金并不影响违约方履行合同的各项义务。11.本次采购的合同项下的任何合同、文件等均应当符合有关环保、知识产权及其他法律法规的规定，包括童工禁用、劳动保护待遇等法律规定。乙方在合同的签订及履行过程中，其签署、履行合同均意味着其已承诺，任何情况下，均将严格遵守法律、法规，并且应当独立承担全部及任何法律责任，包括甲方、最终用户或任何第三方的民事侵权赔偿责任。上述该等责任同时亦均属严重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1、采购文件中“所属行业”应为“其他未列明行业”。 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供应商参加本次采购活动3年内，在经营活动中没有重大违法记录以及未被列入失信被执行人、重大税收违法案件当事人名单、政府采购严重违法失信行为记录名单的书面声明；（6）法定代表人（单位负责人）参加投标的，提供本人身份证；法定代表人（单位负责人）授权他人参加投标的，提供法定代表人委托授权书并出示被授权代表的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供应商2023年或2024年度经审计的财务会计报告，包括 “四表一注” 或者提供响应文件截止时间前3个月内其基本账户开户银行出具的资信证明；供应商成立不到1年的，可提供企业任意时段财务报表；供应商为公益类事业单位或者自然人的无需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响应文件封面 商务技术资料 中小企业声明函 残疾人福利性单位声明函 商务应答表 供应商应提交的相关资格证明材料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商务技术资料 中小企业声明函 残疾人福利性单位声明函 商务应答表 供应商应提交的相关资格证明材料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自合同签订之日起至2025年11月30日止</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满足现行的技术规范、规程、指南要求，达到采购人技术咨询目的，通过采购人审查和验收。</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符合“拟签订合同交本”条款中实质性要求和条件</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商务技术资料 商务应答表 服务内容及服务要求应答表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对本项目咨询内容及要求的理解</w:t>
            </w:r>
          </w:p>
        </w:tc>
        <w:tc>
          <w:tcPr>
            <w:tcW w:type="dxa" w:w="2492"/>
          </w:tcPr>
          <w:p>
            <w:pPr>
              <w:pStyle w:val="null3"/>
            </w:pPr>
            <w:r>
              <w:rPr>
                <w:rFonts w:ascii="仿宋_GB2312" w:hAnsi="仿宋_GB2312" w:cs="仿宋_GB2312" w:eastAsia="仿宋_GB2312"/>
              </w:rPr>
              <w:t>一.评审内容：根据供应商响应文件中的对本项目服务内容及要求的理解进行综合评价，包含但不限于①咨询内容的理解；②服务要求的理解。 二.评审标准： （1）完整性：内容全面详尽，对各方面有详细的描述和说明。 （2）合理性：对工作理解准确、全面、思路清晰。（3）针对性：方案编制紧扣项目特点和采购需求，针对性强，整体性高。 三.赋分标准（满分6分） （1）服务内容的理解，此评审满分3分，每完全满足一项评审标准得1分，针对每条评审标准，如存在不合理的方面扣0.3分，针对每条评审标准，内容与本项目无关或未提供得0分； （2）服务要求的理解，此评审满分3分，每完全满足一项评审标准得1分，针对每条评审标准，如存在不合理的方面扣0.3分，针对每条评审标准，内容与本项目无关或未提供得0分；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商务技术资料</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技术实施方案</w:t>
            </w:r>
          </w:p>
        </w:tc>
        <w:tc>
          <w:tcPr>
            <w:tcW w:type="dxa" w:w="2492"/>
          </w:tcPr>
          <w:p>
            <w:pPr>
              <w:pStyle w:val="null3"/>
            </w:pPr>
            <w:r>
              <w:rPr>
                <w:rFonts w:ascii="仿宋_GB2312" w:hAnsi="仿宋_GB2312" w:cs="仿宋_GB2312" w:eastAsia="仿宋_GB2312"/>
              </w:rPr>
              <w:t>一.评审内容：根据供应商响应文件中的技术实施方案进行综合评价，包含但不限于①总体要求；②符合性审查、设计文件审查、现场审查；③提交咨询报告、报告核查、设计回溯报告审查。 二.评审标准： （1）完整性：内容全面详尽，对各方面有详细的描述和说明。 （2）合理性：项目切合实际，思路清晰，科学合理。（3）针对性：方案编制紧扣项目特点和采购需求，针对性强，整体性高。 三.赋分标准（满分15分） （1）总体要求方案，此评审满分3分，每完全满足一项评审标准得1分，针对每条评审标准，如存在不合理的方面扣0.3分，针对每条评审标准，内容与本项目无关或未提供得0分； （2）符合性审查、设计文件审查、现场审查方案，此评审满分6分，每完全满足一项评审标准得2分，针对每条评审标准，如存在不合理的方面扣1分，针对每条评审标准，内容与本项目无关或未提供得0分； （3）提交咨询报告、报告核查、设计回溯报告审查方案，此评审满分6分，每完全满足一项评审标准得2分，针对每条评审标准，如存在不合理的方面扣1分，针对每条评审标准，内容与本项目无关或未提供得0分；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各专业技术咨询重点、难点分析及解决对策</w:t>
            </w:r>
          </w:p>
        </w:tc>
        <w:tc>
          <w:tcPr>
            <w:tcW w:type="dxa" w:w="2492"/>
          </w:tcPr>
          <w:p>
            <w:pPr>
              <w:pStyle w:val="null3"/>
            </w:pPr>
            <w:r>
              <w:rPr>
                <w:rFonts w:ascii="仿宋_GB2312" w:hAnsi="仿宋_GB2312" w:cs="仿宋_GB2312" w:eastAsia="仿宋_GB2312"/>
              </w:rPr>
              <w:t>一.评审内容：供应商应充分结合项目特点对本项目的重点、难点进行分析，并且能够提出解决对策，保证本项目顺利进行。包含但不限于①重点、难点分析；②重点、难点解决对策。 二.评审标准： （1）合理性：分析内容全面合理，对各方面有详细的描述和说明。 （2）可实施性：切合本项目实际情况，分析清晰、可实施； （3）针对性：分析紧扣项目特点和采购需求，针对性强，整体性高。 三.赋分标准（满分12分） （1）重点、难点分析。 此评审满分6分，每完全满足一项评审标准得2分，针对每条评审标准，如存在不合理的方面扣1分，针对每条评审标准，内容与本项目无关或未提供得0分； （2）重点、难点解决对策。此评审满分6分，每完全满足一项评审标准得2分，针对每条评审标准，如存在不合理的方面扣1分，针对每条评审标准，内容与本项目无关或未提供得0分；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工作进度计划及进度保证措施</w:t>
            </w:r>
          </w:p>
        </w:tc>
        <w:tc>
          <w:tcPr>
            <w:tcW w:type="dxa" w:w="2492"/>
          </w:tcPr>
          <w:p>
            <w:pPr>
              <w:pStyle w:val="null3"/>
            </w:pPr>
            <w:r>
              <w:rPr>
                <w:rFonts w:ascii="仿宋_GB2312" w:hAnsi="仿宋_GB2312" w:cs="仿宋_GB2312" w:eastAsia="仿宋_GB2312"/>
              </w:rPr>
              <w:t>一.评审内容：根据供应商响应标文件中的针对本项目工作任务划分及时间把控，进度计划及进度保证措施进行综合评价，包含但不限于①工作进度计划；②进度保证措施。 二.评审标准： （1）合理性：项目切合实际，进度控制合理、思路清晰，科学合理。 （2）可实施性：切合本项目实际情况，计划及措施清晰、可实施； （3）针对性：方案编制紧扣项目特点和采购需求，针对性强，整体性高。 三.赋分标准（满分9分） （1）工作进度计划，此评审满分4.5分，每完全满足一项评审标准得1.5分，针对每条评审标准，如存在不合理的方面扣0.4分，针对每条评审标准，内容与本项目无关或未提供得0分； （2）进度保证措施，此评审满分4.5分，每完全满足一项评审标准得1.5分，针对每条评审标准，如存在不合理的方面扣0.4分，针对每条评审标准，内容与本项目无关或未提供得0分；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一.评审内容：供应商根据本项目服务内容及要求编制质量及安全保障措施：有规范的、合理的服务流程及管理制度，每个流程环节有质量控制办法，对项目执行过程中的服务质量、技术保证、沟通途径有明确说明。供应商切合实际，能充分利用自身资源及相关技术手段保证成果质量，包含但不限于①质量保证体系；②质量保证措施。 二.评审标准： （1）完整性：内容全面，对评审内容中的各项要求有详细描述； （2）可实施性：切合本项目实际情况，实施步骤清晰、合理，可实施； （3）针对性：方案能够紧扣项目实际情况，内容科学合理。 三.赋分标准：（满分9分） （1）质量保证体系，此评审项满分4.5分，每完全满足一条评审标准得1.5分；针对每条评审标准，如存在不合理的方面，扣1分；针对每条评审标准，方案内容与本项目无关或未提供的，得0分。 （2）质量保证措施，此评审项满分4.5分，每完全满足一条评审标准得1.5分；针对每条评审标准，如存在不合理的方面，扣1分；针对每条评审标准，方案内容与本项目无关或未提供的，得0分。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拟派本项目团队</w:t>
            </w:r>
          </w:p>
        </w:tc>
        <w:tc>
          <w:tcPr>
            <w:tcW w:type="dxa" w:w="2492"/>
          </w:tcPr>
          <w:p>
            <w:pPr>
              <w:pStyle w:val="null3"/>
            </w:pPr>
            <w:r>
              <w:rPr>
                <w:rFonts w:ascii="仿宋_GB2312" w:hAnsi="仿宋_GB2312" w:cs="仿宋_GB2312" w:eastAsia="仿宋_GB2312"/>
              </w:rPr>
              <w:t>一.项目负责人：具备①具备高级工程师及以上职称；②近5年（2020年1月1日至今）担任过2条国省干线及以上公路工程设计咨询审查项目负责人，且为本单位在职人员，满足以上要求得9分，不满足不得分。在此基础上每增加1个业绩得1分，最多加6分，本评审项最高得15分。 二.项目组成员（各专业主要人员任职资格）：满足磋商文件第三章人员配备要求的得6分，在上述人员业绩要求基础上各专业人员（项目负责人除外）业绩，任一人每增加1条要求的业绩加0.5分，最多加4分。 注：提供①人员证书复印件或扫描件②工作经历证明资料或其他证明资料并加盖公章。</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近5年（2020年1月1日至今，以合同签订日期为准）内完成过3条国省干线及以上公路工程设计咨询审查业绩的得9分，否则得0分。 在上述业绩基础上每增加1条要求的业绩加1分，最多加5分。 注：提供合同复印件并加盖公章。</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磋商报价。满足磋商文件要求且磋商价格最低的磋商报价为评标基准价，其价格分为满分。最低磋商报价不是中标的唯一依据。因落实政府采购政策进行价格调整的，以调整后的价格计算评标基准价和磋商报价，价格分按照下列公式计算。 磋商报价得分=（评标基准价／最后磋商报价）×100×10%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详见附件：商务技术资料</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