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版本号：SCZA2025-CS-0878-00120250507001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2025年厅数据库及中间件维保服务项目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SCZA2025-CS-0878-001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2025年厅数据库及中间件维保服务项目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SCZA2025-CS-0878-001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2025年厅数据库及中间件维保服务项目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2025年厅数据库及中间件维保服务项目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 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029-68939123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地址：陕西省西安市高新区锦业路1号绿地都市之门C座9层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1、我厅非云财政业务系统、灾备系统、数据治理系统、网站系统使用的数据库环境主要为ORACLE、MYSQL、SQL Server、Postgre数据库。该项目保障省级财政非云数据库系统安全稳定运行。</w:t>
      </w:r>
    </w:p>
    <w:p>
      <w:pPr>
        <w:pStyle w:val="null3"/>
        <w:ind w:firstLine="400"/>
      </w:pPr>
      <w:r>
        <w:rPr>
          <w:rFonts w:ascii="仿宋_GB2312" w:hAnsi="仿宋_GB2312" w:cs="仿宋_GB2312" w:eastAsia="仿宋_GB2312"/>
        </w:rPr>
        <w:t>2、随着陕西财政信息化建设的日益深入和各应用系统的全面建设完成，承载信息系统的中间件系统的安全性、可靠性、稳定性和业务的连续性愈来愈重要。为提高支撑业务运行的中间件系统在运行中遇到的各类问题处置的响应速度和问题处理效率，提升运维服务的质量，需加大信息技术基础运维工作力度，确保中间件系统安全、稳定、可靠运行，由专业的运维技术人员提供运维支撑和保障势在必行。该项目保障省财政系统的中间件软件稳定高效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数据库及中间件驻场维保服务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标的名称：数据库及中间件驻场维保服务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一、项目介绍</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我厅</w:t>
            </w:r>
            <w:r>
              <w:rPr>
                <w:rFonts w:ascii="仿宋_GB2312" w:hAnsi="仿宋_GB2312" w:cs="仿宋_GB2312" w:eastAsia="仿宋_GB2312"/>
                <w:sz w:val="21"/>
              </w:rPr>
              <w:t>非云财政业务系统、灾备系统、数据治理系统、网站系统使用的数据库环境主要为</w:t>
            </w:r>
            <w:r>
              <w:rPr>
                <w:rFonts w:ascii="仿宋_GB2312" w:hAnsi="仿宋_GB2312" w:cs="仿宋_GB2312" w:eastAsia="仿宋_GB2312"/>
                <w:sz w:val="21"/>
              </w:rPr>
              <w:t>ORACLE、</w:t>
            </w:r>
            <w:r>
              <w:rPr>
                <w:rFonts w:ascii="仿宋_GB2312" w:hAnsi="仿宋_GB2312" w:cs="仿宋_GB2312" w:eastAsia="仿宋_GB2312"/>
                <w:sz w:val="21"/>
              </w:rPr>
              <w:t>MYSQL</w:t>
            </w:r>
            <w:r>
              <w:rPr>
                <w:rFonts w:ascii="仿宋_GB2312" w:hAnsi="仿宋_GB2312" w:cs="仿宋_GB2312" w:eastAsia="仿宋_GB2312"/>
                <w:sz w:val="21"/>
              </w:rPr>
              <w:t>、</w:t>
            </w:r>
            <w:r>
              <w:rPr>
                <w:rFonts w:ascii="仿宋_GB2312" w:hAnsi="仿宋_GB2312" w:cs="仿宋_GB2312" w:eastAsia="仿宋_GB2312"/>
                <w:sz w:val="21"/>
              </w:rPr>
              <w:t>SQL Server、Postgre数据库</w:t>
            </w:r>
            <w:r>
              <w:rPr>
                <w:rFonts w:ascii="仿宋_GB2312" w:hAnsi="仿宋_GB2312" w:cs="仿宋_GB2312" w:eastAsia="仿宋_GB2312"/>
                <w:sz w:val="21"/>
              </w:rPr>
              <w:t>。该项目</w:t>
            </w:r>
            <w:r>
              <w:rPr>
                <w:rFonts w:ascii="仿宋_GB2312" w:hAnsi="仿宋_GB2312" w:cs="仿宋_GB2312" w:eastAsia="仿宋_GB2312"/>
                <w:sz w:val="21"/>
              </w:rPr>
              <w:t>保障省级财政非云数据库系统</w:t>
            </w:r>
            <w:r>
              <w:rPr>
                <w:rFonts w:ascii="仿宋_GB2312" w:hAnsi="仿宋_GB2312" w:cs="仿宋_GB2312" w:eastAsia="仿宋_GB2312"/>
                <w:sz w:val="21"/>
              </w:rPr>
              <w:t>安全</w:t>
            </w:r>
            <w:r>
              <w:rPr>
                <w:rFonts w:ascii="仿宋_GB2312" w:hAnsi="仿宋_GB2312" w:cs="仿宋_GB2312" w:eastAsia="仿宋_GB2312"/>
                <w:sz w:val="21"/>
              </w:rPr>
              <w:t>稳定运行。</w:t>
            </w:r>
          </w:p>
          <w:p>
            <w:pPr>
              <w:pStyle w:val="null3"/>
              <w:ind w:firstLine="392"/>
              <w:jc w:val="both"/>
            </w:pPr>
            <w:r>
              <w:rPr>
                <w:rFonts w:ascii="仿宋_GB2312" w:hAnsi="仿宋_GB2312" w:cs="仿宋_GB2312" w:eastAsia="仿宋_GB2312"/>
                <w:sz w:val="21"/>
              </w:rPr>
              <w:t>2、随着陕西财政信息化建设的日益深入和各应用系统的全面建设完成，承载信息系统的中间件系统的安全性、可靠性、稳定性和业务的连续性愈来愈重要。为提高支撑业务运行的中间件系统在运行中遇到的各类问题处置的响应速度和问题处理效率，提升运维服务的质量，需加大信息技术基础运维工作力度，确保中间件系统安全、稳定、可靠运行，由专业的运维技术人员提供运维支撑和保障势在必行。该项目保障省财政系统的中间件软件稳定高效运行。</w:t>
            </w:r>
          </w:p>
          <w:p>
            <w:pPr>
              <w:pStyle w:val="null3"/>
              <w:jc w:val="both"/>
            </w:pPr>
            <w:r>
              <w:rPr>
                <w:rFonts w:ascii="仿宋_GB2312" w:hAnsi="仿宋_GB2312" w:cs="仿宋_GB2312" w:eastAsia="仿宋_GB2312"/>
                <w:sz w:val="21"/>
                <w:b/>
              </w:rPr>
              <w:t>二、采购项目数量，实施时间及地点</w:t>
            </w:r>
          </w:p>
          <w:p>
            <w:pPr>
              <w:pStyle w:val="null3"/>
              <w:ind w:firstLine="420"/>
              <w:jc w:val="both"/>
            </w:pPr>
            <w:r>
              <w:rPr>
                <w:rFonts w:ascii="仿宋_GB2312" w:hAnsi="仿宋_GB2312" w:cs="仿宋_GB2312" w:eastAsia="仿宋_GB2312"/>
                <w:sz w:val="21"/>
              </w:rPr>
              <w:t>采购项目详见下表，项目实施期限为一年，项目实施地点为陕西省财政厅。</w:t>
            </w:r>
          </w:p>
          <w:p>
            <w:pPr>
              <w:pStyle w:val="null3"/>
              <w:ind w:firstLine="392"/>
              <w:jc w:val="both"/>
            </w:pPr>
            <w:r>
              <w:rPr>
                <w:rFonts w:ascii="仿宋_GB2312" w:hAnsi="仿宋_GB2312" w:cs="仿宋_GB2312" w:eastAsia="仿宋_GB2312"/>
                <w:sz w:val="21"/>
              </w:rPr>
              <w:t>1、2025年厅数据库维保服务项目</w:t>
            </w:r>
          </w:p>
          <w:p>
            <w:pPr>
              <w:pStyle w:val="null3"/>
              <w:jc w:val="center"/>
            </w:pPr>
            <w:r>
              <w:rPr>
                <w:rFonts w:ascii="仿宋_GB2312" w:hAnsi="仿宋_GB2312" w:cs="仿宋_GB2312" w:eastAsia="仿宋_GB2312"/>
                <w:sz w:val="21"/>
                <w:b/>
              </w:rPr>
              <w:t>202</w:t>
            </w:r>
            <w:r>
              <w:rPr>
                <w:rFonts w:ascii="仿宋_GB2312" w:hAnsi="仿宋_GB2312" w:cs="仿宋_GB2312" w:eastAsia="仿宋_GB2312"/>
                <w:sz w:val="21"/>
                <w:b/>
              </w:rPr>
              <w:t>5</w:t>
            </w:r>
            <w:r>
              <w:rPr>
                <w:rFonts w:ascii="仿宋_GB2312" w:hAnsi="仿宋_GB2312" w:cs="仿宋_GB2312" w:eastAsia="仿宋_GB2312"/>
                <w:sz w:val="21"/>
                <w:b/>
              </w:rPr>
              <w:t>年数据库维护服务项目内容明细表</w:t>
            </w:r>
          </w:p>
          <w:tbl>
            <w:tblPr>
              <w:tblBorders>
                <w:top w:val="none" w:color="000000" w:sz="4"/>
                <w:left w:val="none" w:color="000000" w:sz="4"/>
                <w:bottom w:val="none" w:color="000000" w:sz="4"/>
                <w:right w:val="none" w:color="000000" w:sz="4"/>
                <w:insideH w:val="none"/>
                <w:insideV w:val="none"/>
              </w:tblBorders>
            </w:tblPr>
            <w:tblGrid>
              <w:gridCol w:w="321"/>
              <w:gridCol w:w="332"/>
              <w:gridCol w:w="337"/>
              <w:gridCol w:w="453"/>
              <w:gridCol w:w="1097"/>
            </w:tblGrid>
            <w:tr>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1"/>
                      <w:b/>
                    </w:rPr>
                    <w:t>序号</w:t>
                  </w:r>
                </w:p>
              </w:tc>
              <w:tc>
                <w:tcPr>
                  <w:tcW w:type="dxa" w:w="3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数据库</w:t>
                  </w:r>
                  <w:r>
                    <w:rPr>
                      <w:rFonts w:ascii="仿宋_GB2312" w:hAnsi="仿宋_GB2312" w:cs="仿宋_GB2312" w:eastAsia="仿宋_GB2312"/>
                      <w:sz w:val="21"/>
                      <w:b/>
                    </w:rPr>
                    <w:t xml:space="preserve">  </w:t>
                  </w:r>
                </w:p>
              </w:tc>
              <w:tc>
                <w:tcPr>
                  <w:tcW w:type="dxa" w:w="33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集群</w:t>
                  </w:r>
                </w:p>
              </w:tc>
              <w:tc>
                <w:tcPr>
                  <w:tcW w:type="dxa" w:w="45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数据库版本</w:t>
                  </w:r>
                </w:p>
              </w:tc>
              <w:tc>
                <w:tcPr>
                  <w:tcW w:type="dxa" w:w="10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主要业务库</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gkpz</w:t>
                  </w:r>
                  <w:r>
                    <w:rPr>
                      <w:rFonts w:ascii="仿宋_GB2312" w:hAnsi="仿宋_GB2312" w:cs="仿宋_GB2312" w:eastAsia="仿宋_GB2312"/>
                      <w:sz w:val="21"/>
                    </w:rPr>
                    <w:t>1</w:t>
                  </w:r>
                </w:p>
              </w:tc>
              <w:tc>
                <w:tcPr>
                  <w:tcW w:type="dxa" w:w="33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RAC</w:t>
                  </w:r>
                </w:p>
              </w:tc>
              <w:tc>
                <w:tcPr>
                  <w:tcW w:type="dxa" w:w="453"/>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11g</w:t>
                  </w:r>
                </w:p>
              </w:tc>
              <w:tc>
                <w:tcPr>
                  <w:tcW w:type="dxa" w:w="109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国库电子凭证库（人行）</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gkpz</w:t>
                  </w:r>
                  <w:r>
                    <w:rPr>
                      <w:rFonts w:ascii="仿宋_GB2312" w:hAnsi="仿宋_GB2312" w:cs="仿宋_GB2312" w:eastAsia="仿宋_GB2312"/>
                      <w:sz w:val="21"/>
                    </w:rPr>
                    <w:t>2</w:t>
                  </w:r>
                </w:p>
              </w:tc>
              <w:tc>
                <w:tcPr>
                  <w:tcW w:type="dxa" w:w="337"/>
                  <w:vMerge/>
                  <w:tcBorders>
                    <w:top w:val="none" w:color="000000" w:sz="4"/>
                    <w:left w:val="none" w:color="000000" w:sz="4"/>
                    <w:bottom w:val="none" w:color="000000" w:sz="4"/>
                    <w:right w:val="single" w:color="000000" w:sz="4"/>
                  </w:tcBorders>
                </w:tcPr>
                <w:p/>
              </w:tc>
              <w:tc>
                <w:tcPr>
                  <w:tcW w:type="dxa" w:w="453"/>
                  <w:vMerge/>
                  <w:tcBorders>
                    <w:top w:val="none" w:color="000000" w:sz="4"/>
                    <w:left w:val="none" w:color="000000" w:sz="4"/>
                    <w:bottom w:val="none" w:color="000000" w:sz="4"/>
                    <w:right w:val="single" w:color="000000" w:sz="4"/>
                  </w:tcBorders>
                </w:tcPr>
                <w:p/>
              </w:tc>
              <w:tc>
                <w:tcPr>
                  <w:tcW w:type="dxa" w:w="1097"/>
                  <w:vMerge/>
                  <w:tcBorders>
                    <w:top w:val="none" w:color="000000" w:sz="4"/>
                    <w:left w:val="none" w:color="000000" w:sz="4"/>
                    <w:bottom w:val="none" w:color="000000" w:sz="4"/>
                    <w:right w:val="single" w:color="000000" w:sz="4"/>
                  </w:tcBorders>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gfgz1</w:t>
                  </w:r>
                </w:p>
              </w:tc>
              <w:tc>
                <w:tcPr>
                  <w:tcW w:type="dxa" w:w="33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RAC</w:t>
                  </w:r>
                </w:p>
              </w:tc>
              <w:tc>
                <w:tcPr>
                  <w:tcW w:type="dxa" w:w="453"/>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10g</w:t>
                  </w:r>
                </w:p>
              </w:tc>
              <w:tc>
                <w:tcPr>
                  <w:tcW w:type="dxa" w:w="109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1"/>
                    </w:rPr>
                    <w:t>工资、三金、财</w:t>
                  </w:r>
                  <w:r>
                    <w:rPr>
                      <w:rFonts w:ascii="仿宋_GB2312" w:hAnsi="仿宋_GB2312" w:cs="仿宋_GB2312" w:eastAsia="仿宋_GB2312"/>
                      <w:sz w:val="21"/>
                    </w:rPr>
                    <w:t>税</w:t>
                  </w:r>
                  <w:r>
                    <w:rPr>
                      <w:rFonts w:ascii="仿宋_GB2312" w:hAnsi="仿宋_GB2312" w:cs="仿宋_GB2312" w:eastAsia="仿宋_GB2312"/>
                      <w:sz w:val="21"/>
                    </w:rPr>
                    <w:t>库银</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gfgz2</w:t>
                  </w:r>
                </w:p>
              </w:tc>
              <w:tc>
                <w:tcPr>
                  <w:tcW w:type="dxa" w:w="337"/>
                  <w:vMerge/>
                  <w:tcBorders>
                    <w:top w:val="none" w:color="000000" w:sz="4"/>
                    <w:left w:val="none" w:color="000000" w:sz="4"/>
                    <w:bottom w:val="none" w:color="000000" w:sz="4"/>
                    <w:right w:val="single" w:color="000000" w:sz="4"/>
                  </w:tcBorders>
                </w:tcPr>
                <w:p/>
              </w:tc>
              <w:tc>
                <w:tcPr>
                  <w:tcW w:type="dxa" w:w="453"/>
                  <w:vMerge/>
                  <w:tcBorders>
                    <w:top w:val="none" w:color="000000" w:sz="4"/>
                    <w:left w:val="none" w:color="000000" w:sz="4"/>
                    <w:bottom w:val="none" w:color="000000" w:sz="4"/>
                    <w:right w:val="single" w:color="000000" w:sz="4"/>
                  </w:tcBorders>
                </w:tcPr>
                <w:p/>
              </w:tc>
              <w:tc>
                <w:tcPr>
                  <w:tcW w:type="dxa" w:w="1097"/>
                  <w:vMerge/>
                  <w:tcBorders>
                    <w:top w:val="none" w:color="000000" w:sz="4"/>
                    <w:left w:val="none" w:color="000000" w:sz="4"/>
                    <w:bottom w:val="none" w:color="000000" w:sz="4"/>
                    <w:right w:val="single" w:color="000000" w:sz="4"/>
                  </w:tcBorders>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gfzf1</w:t>
                  </w:r>
                </w:p>
              </w:tc>
              <w:tc>
                <w:tcPr>
                  <w:tcW w:type="dxa" w:w="33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RAC</w:t>
                  </w:r>
                </w:p>
              </w:tc>
              <w:tc>
                <w:tcPr>
                  <w:tcW w:type="dxa" w:w="453"/>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g</w:t>
                  </w:r>
                </w:p>
              </w:tc>
              <w:tc>
                <w:tcPr>
                  <w:tcW w:type="dxa" w:w="109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惠民补贴监控</w:t>
                  </w:r>
                  <w:r>
                    <w:rPr>
                      <w:rFonts w:ascii="仿宋_GB2312" w:hAnsi="仿宋_GB2312" w:cs="仿宋_GB2312" w:eastAsia="仿宋_GB2312"/>
                      <w:sz w:val="21"/>
                    </w:rPr>
                    <w:t>/查询</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gfzf2</w:t>
                  </w:r>
                </w:p>
              </w:tc>
              <w:tc>
                <w:tcPr>
                  <w:tcW w:type="dxa" w:w="337"/>
                  <w:vMerge/>
                  <w:tcBorders>
                    <w:top w:val="none" w:color="000000" w:sz="4"/>
                    <w:left w:val="none" w:color="000000" w:sz="4"/>
                    <w:bottom w:val="none" w:color="000000" w:sz="4"/>
                    <w:right w:val="single" w:color="000000" w:sz="4"/>
                  </w:tcBorders>
                </w:tcPr>
                <w:p/>
              </w:tc>
              <w:tc>
                <w:tcPr>
                  <w:tcW w:type="dxa" w:w="453"/>
                  <w:vMerge/>
                  <w:tcBorders>
                    <w:top w:val="none" w:color="000000" w:sz="4"/>
                    <w:left w:val="none" w:color="000000" w:sz="4"/>
                    <w:bottom w:val="none" w:color="000000" w:sz="4"/>
                    <w:right w:val="single" w:color="000000" w:sz="4"/>
                  </w:tcBorders>
                </w:tcPr>
                <w:p/>
              </w:tc>
              <w:tc>
                <w:tcPr>
                  <w:tcW w:type="dxa" w:w="1097"/>
                  <w:vMerge/>
                  <w:tcBorders>
                    <w:top w:val="none" w:color="000000" w:sz="4"/>
                    <w:left w:val="none" w:color="000000" w:sz="4"/>
                    <w:bottom w:val="none" w:color="000000" w:sz="4"/>
                    <w:right w:val="single" w:color="000000" w:sz="4"/>
                  </w:tcBorders>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SNDB1</w:t>
                  </w:r>
                </w:p>
              </w:tc>
              <w:tc>
                <w:tcPr>
                  <w:tcW w:type="dxa" w:w="33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RAC</w:t>
                  </w:r>
                </w:p>
              </w:tc>
              <w:tc>
                <w:tcPr>
                  <w:tcW w:type="dxa" w:w="453"/>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10g</w:t>
                  </w:r>
                </w:p>
              </w:tc>
              <w:tc>
                <w:tcPr>
                  <w:tcW w:type="dxa" w:w="109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国库决算</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SNDB2</w:t>
                  </w:r>
                </w:p>
              </w:tc>
              <w:tc>
                <w:tcPr>
                  <w:tcW w:type="dxa" w:w="337"/>
                  <w:vMerge/>
                  <w:tcBorders>
                    <w:top w:val="none" w:color="000000" w:sz="4"/>
                    <w:left w:val="none" w:color="000000" w:sz="4"/>
                    <w:bottom w:val="none" w:color="000000" w:sz="4"/>
                    <w:right w:val="single" w:color="000000" w:sz="4"/>
                  </w:tcBorders>
                </w:tcPr>
                <w:p/>
              </w:tc>
              <w:tc>
                <w:tcPr>
                  <w:tcW w:type="dxa" w:w="453"/>
                  <w:vMerge/>
                  <w:tcBorders>
                    <w:top w:val="none" w:color="000000" w:sz="4"/>
                    <w:left w:val="none" w:color="000000" w:sz="4"/>
                    <w:bottom w:val="none" w:color="000000" w:sz="4"/>
                    <w:right w:val="single" w:color="000000" w:sz="4"/>
                  </w:tcBorders>
                </w:tcPr>
                <w:p/>
              </w:tc>
              <w:tc>
                <w:tcPr>
                  <w:tcW w:type="dxa" w:w="1097"/>
                  <w:vMerge/>
                  <w:tcBorders>
                    <w:top w:val="none" w:color="000000" w:sz="4"/>
                    <w:left w:val="none" w:color="000000" w:sz="4"/>
                    <w:bottom w:val="none" w:color="000000" w:sz="4"/>
                    <w:right w:val="single" w:color="000000" w:sz="4"/>
                  </w:tcBorders>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SNDB3</w:t>
                  </w:r>
                </w:p>
              </w:tc>
              <w:tc>
                <w:tcPr>
                  <w:tcW w:type="dxa" w:w="337"/>
                  <w:vMerge/>
                  <w:tcBorders>
                    <w:top w:val="none" w:color="000000" w:sz="4"/>
                    <w:left w:val="none" w:color="000000" w:sz="4"/>
                    <w:bottom w:val="none" w:color="000000" w:sz="4"/>
                    <w:right w:val="single" w:color="000000" w:sz="4"/>
                  </w:tcBorders>
                </w:tcPr>
                <w:p/>
              </w:tc>
              <w:tc>
                <w:tcPr>
                  <w:tcW w:type="dxa" w:w="453"/>
                  <w:vMerge/>
                  <w:tcBorders>
                    <w:top w:val="none" w:color="000000" w:sz="4"/>
                    <w:left w:val="none" w:color="000000" w:sz="4"/>
                    <w:bottom w:val="none" w:color="000000" w:sz="4"/>
                    <w:right w:val="single" w:color="000000" w:sz="4"/>
                  </w:tcBorders>
                </w:tcPr>
                <w:p/>
              </w:tc>
              <w:tc>
                <w:tcPr>
                  <w:tcW w:type="dxa" w:w="1097"/>
                  <w:vMerge/>
                  <w:tcBorders>
                    <w:top w:val="none" w:color="000000" w:sz="4"/>
                    <w:left w:val="none" w:color="000000" w:sz="4"/>
                    <w:bottom w:val="none" w:color="000000" w:sz="4"/>
                    <w:right w:val="single" w:color="000000" w:sz="4"/>
                  </w:tcBorders>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FSDB1</w:t>
                  </w:r>
                </w:p>
              </w:tc>
              <w:tc>
                <w:tcPr>
                  <w:tcW w:type="dxa" w:w="33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RAC</w:t>
                  </w:r>
                </w:p>
              </w:tc>
              <w:tc>
                <w:tcPr>
                  <w:tcW w:type="dxa" w:w="453"/>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10g</w:t>
                  </w:r>
                </w:p>
              </w:tc>
              <w:tc>
                <w:tcPr>
                  <w:tcW w:type="dxa" w:w="109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非税、</w:t>
                  </w:r>
                  <w:r>
                    <w:rPr>
                      <w:rFonts w:ascii="仿宋_GB2312" w:hAnsi="仿宋_GB2312" w:cs="仿宋_GB2312" w:eastAsia="仿宋_GB2312"/>
                      <w:sz w:val="21"/>
                    </w:rPr>
                    <w:t>OA系统</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FSDB2</w:t>
                  </w:r>
                </w:p>
              </w:tc>
              <w:tc>
                <w:tcPr>
                  <w:tcW w:type="dxa" w:w="337"/>
                  <w:vMerge/>
                  <w:tcBorders>
                    <w:top w:val="none" w:color="000000" w:sz="4"/>
                    <w:left w:val="none" w:color="000000" w:sz="4"/>
                    <w:bottom w:val="none" w:color="000000" w:sz="4"/>
                    <w:right w:val="single" w:color="000000" w:sz="4"/>
                  </w:tcBorders>
                </w:tcPr>
                <w:p/>
              </w:tc>
              <w:tc>
                <w:tcPr>
                  <w:tcW w:type="dxa" w:w="453"/>
                  <w:vMerge/>
                  <w:tcBorders>
                    <w:top w:val="none" w:color="000000" w:sz="4"/>
                    <w:left w:val="none" w:color="000000" w:sz="4"/>
                    <w:bottom w:val="none" w:color="000000" w:sz="4"/>
                    <w:right w:val="single" w:color="000000" w:sz="4"/>
                  </w:tcBorders>
                </w:tcPr>
                <w:p/>
              </w:tc>
              <w:tc>
                <w:tcPr>
                  <w:tcW w:type="dxa" w:w="1097"/>
                  <w:vMerge/>
                  <w:tcBorders>
                    <w:top w:val="none" w:color="000000" w:sz="4"/>
                    <w:left w:val="none" w:color="000000" w:sz="4"/>
                    <w:bottom w:val="none" w:color="000000" w:sz="4"/>
                    <w:right w:val="single" w:color="000000" w:sz="4"/>
                  </w:tcBorders>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FPDB1</w:t>
                  </w:r>
                </w:p>
              </w:tc>
              <w:tc>
                <w:tcPr>
                  <w:tcW w:type="dxa" w:w="33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RAC</w:t>
                  </w:r>
                </w:p>
              </w:tc>
              <w:tc>
                <w:tcPr>
                  <w:tcW w:type="dxa" w:w="453"/>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g</w:t>
                  </w:r>
                </w:p>
              </w:tc>
              <w:tc>
                <w:tcPr>
                  <w:tcW w:type="dxa" w:w="109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扶贫监控系统</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FPDB2</w:t>
                  </w:r>
                </w:p>
              </w:tc>
              <w:tc>
                <w:tcPr>
                  <w:tcW w:type="dxa" w:w="337"/>
                  <w:vMerge/>
                  <w:tcBorders>
                    <w:top w:val="none" w:color="000000" w:sz="4"/>
                    <w:left w:val="none" w:color="000000" w:sz="4"/>
                    <w:bottom w:val="none" w:color="000000" w:sz="4"/>
                    <w:right w:val="single" w:color="000000" w:sz="4"/>
                  </w:tcBorders>
                </w:tcPr>
                <w:p/>
              </w:tc>
              <w:tc>
                <w:tcPr>
                  <w:tcW w:type="dxa" w:w="453"/>
                  <w:vMerge/>
                  <w:tcBorders>
                    <w:top w:val="none" w:color="000000" w:sz="4"/>
                    <w:left w:val="none" w:color="000000" w:sz="4"/>
                    <w:bottom w:val="none" w:color="000000" w:sz="4"/>
                    <w:right w:val="single" w:color="000000" w:sz="4"/>
                  </w:tcBorders>
                </w:tcPr>
                <w:p/>
              </w:tc>
              <w:tc>
                <w:tcPr>
                  <w:tcW w:type="dxa" w:w="1097"/>
                  <w:vMerge/>
                  <w:tcBorders>
                    <w:top w:val="none" w:color="000000" w:sz="4"/>
                    <w:left w:val="none" w:color="000000" w:sz="4"/>
                    <w:bottom w:val="none" w:color="000000" w:sz="4"/>
                    <w:right w:val="single" w:color="000000" w:sz="4"/>
                  </w:tcBorders>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snzb1</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10g</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延安灾备应急库</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snzb2</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10g</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延安灾备应急库</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BMYSCS</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10g</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部门预算</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GFXM1</w:t>
                  </w:r>
                </w:p>
              </w:tc>
              <w:tc>
                <w:tcPr>
                  <w:tcW w:type="dxa" w:w="33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RAC</w:t>
                  </w:r>
                </w:p>
              </w:tc>
              <w:tc>
                <w:tcPr>
                  <w:tcW w:type="dxa" w:w="453"/>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g</w:t>
                  </w:r>
                </w:p>
              </w:tc>
              <w:tc>
                <w:tcPr>
                  <w:tcW w:type="dxa" w:w="109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项目库</w:t>
                  </w:r>
                  <w:r>
                    <w:rPr>
                      <w:rFonts w:ascii="仿宋_GB2312" w:hAnsi="仿宋_GB2312" w:cs="仿宋_GB2312" w:eastAsia="仿宋_GB2312"/>
                      <w:sz w:val="21"/>
                    </w:rPr>
                    <w:t>、财政厅门户</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GFXM2</w:t>
                  </w:r>
                </w:p>
              </w:tc>
              <w:tc>
                <w:tcPr>
                  <w:tcW w:type="dxa" w:w="337"/>
                  <w:vMerge/>
                  <w:tcBorders>
                    <w:top w:val="none" w:color="000000" w:sz="4"/>
                    <w:left w:val="none" w:color="000000" w:sz="4"/>
                    <w:bottom w:val="none" w:color="000000" w:sz="4"/>
                    <w:right w:val="single" w:color="000000" w:sz="4"/>
                  </w:tcBorders>
                </w:tcPr>
                <w:p/>
              </w:tc>
              <w:tc>
                <w:tcPr>
                  <w:tcW w:type="dxa" w:w="453"/>
                  <w:vMerge/>
                  <w:tcBorders>
                    <w:top w:val="none" w:color="000000" w:sz="4"/>
                    <w:left w:val="none" w:color="000000" w:sz="4"/>
                    <w:bottom w:val="none" w:color="000000" w:sz="4"/>
                    <w:right w:val="single" w:color="000000" w:sz="4"/>
                  </w:tcBorders>
                </w:tcPr>
                <w:p/>
              </w:tc>
              <w:tc>
                <w:tcPr>
                  <w:tcW w:type="dxa" w:w="1097"/>
                  <w:vMerge/>
                  <w:tcBorders>
                    <w:top w:val="none" w:color="000000" w:sz="4"/>
                    <w:left w:val="none" w:color="000000" w:sz="4"/>
                    <w:bottom w:val="none" w:color="000000" w:sz="4"/>
                    <w:right w:val="single" w:color="000000" w:sz="4"/>
                  </w:tcBorders>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DZPZ1</w:t>
                  </w:r>
                </w:p>
              </w:tc>
              <w:tc>
                <w:tcPr>
                  <w:tcW w:type="dxa" w:w="33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RAC</w:t>
                  </w:r>
                </w:p>
              </w:tc>
              <w:tc>
                <w:tcPr>
                  <w:tcW w:type="dxa" w:w="453"/>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g</w:t>
                  </w:r>
                </w:p>
              </w:tc>
              <w:tc>
                <w:tcPr>
                  <w:tcW w:type="dxa" w:w="109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财政云国库集中支付电子凭证模块</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DZPZ2</w:t>
                  </w:r>
                </w:p>
              </w:tc>
              <w:tc>
                <w:tcPr>
                  <w:tcW w:type="dxa" w:w="337"/>
                  <w:vMerge/>
                  <w:tcBorders>
                    <w:top w:val="none" w:color="000000" w:sz="4"/>
                    <w:left w:val="none" w:color="000000" w:sz="4"/>
                    <w:bottom w:val="none" w:color="000000" w:sz="4"/>
                    <w:right w:val="single" w:color="000000" w:sz="4"/>
                  </w:tcBorders>
                </w:tcPr>
                <w:p/>
              </w:tc>
              <w:tc>
                <w:tcPr>
                  <w:tcW w:type="dxa" w:w="453"/>
                  <w:vMerge/>
                  <w:tcBorders>
                    <w:top w:val="none" w:color="000000" w:sz="4"/>
                    <w:left w:val="none" w:color="000000" w:sz="4"/>
                    <w:bottom w:val="none" w:color="000000" w:sz="4"/>
                    <w:right w:val="single" w:color="000000" w:sz="4"/>
                  </w:tcBorders>
                </w:tcPr>
                <w:p/>
              </w:tc>
              <w:tc>
                <w:tcPr>
                  <w:tcW w:type="dxa" w:w="1097"/>
                  <w:vMerge/>
                  <w:tcBorders>
                    <w:top w:val="none" w:color="000000" w:sz="4"/>
                    <w:left w:val="none" w:color="000000" w:sz="4"/>
                    <w:bottom w:val="none" w:color="000000" w:sz="4"/>
                    <w:right w:val="single" w:color="000000" w:sz="4"/>
                  </w:tcBorders>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21</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NSNDB1</w:t>
                  </w:r>
                </w:p>
              </w:tc>
              <w:tc>
                <w:tcPr>
                  <w:tcW w:type="dxa" w:w="33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RAC</w:t>
                  </w:r>
                </w:p>
              </w:tc>
              <w:tc>
                <w:tcPr>
                  <w:tcW w:type="dxa" w:w="453"/>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g</w:t>
                  </w:r>
                </w:p>
              </w:tc>
              <w:tc>
                <w:tcPr>
                  <w:tcW w:type="dxa" w:w="109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国库集中支付、工资发放台账</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NSNDB2</w:t>
                  </w:r>
                </w:p>
              </w:tc>
              <w:tc>
                <w:tcPr>
                  <w:tcW w:type="dxa" w:w="337"/>
                  <w:vMerge/>
                  <w:tcBorders>
                    <w:top w:val="none" w:color="000000" w:sz="4"/>
                    <w:left w:val="none" w:color="000000" w:sz="4"/>
                    <w:bottom w:val="none" w:color="000000" w:sz="4"/>
                    <w:right w:val="single" w:color="000000" w:sz="4"/>
                  </w:tcBorders>
                </w:tcPr>
                <w:p/>
              </w:tc>
              <w:tc>
                <w:tcPr>
                  <w:tcW w:type="dxa" w:w="453"/>
                  <w:vMerge/>
                  <w:tcBorders>
                    <w:top w:val="none" w:color="000000" w:sz="4"/>
                    <w:left w:val="none" w:color="000000" w:sz="4"/>
                    <w:bottom w:val="none" w:color="000000" w:sz="4"/>
                    <w:right w:val="single" w:color="000000" w:sz="4"/>
                  </w:tcBorders>
                </w:tcPr>
                <w:p/>
              </w:tc>
              <w:tc>
                <w:tcPr>
                  <w:tcW w:type="dxa" w:w="1097"/>
                  <w:vMerge/>
                  <w:tcBorders>
                    <w:top w:val="none" w:color="000000" w:sz="4"/>
                    <w:left w:val="none" w:color="000000" w:sz="4"/>
                    <w:bottom w:val="none" w:color="000000" w:sz="4"/>
                    <w:right w:val="single" w:color="000000" w:sz="4"/>
                  </w:tcBorders>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23</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DAGL</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SQL SERVER</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档案管理</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GKCZH</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SQL SERVER</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国库专户</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BMYS</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SQL SERVER</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部门预算</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26</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NEWBMYS</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10g</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新部门预算</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7</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dzhzf</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 1</w:t>
                  </w:r>
                  <w:r>
                    <w:rPr>
                      <w:rFonts w:ascii="仿宋_GB2312" w:hAnsi="仿宋_GB2312" w:cs="仿宋_GB2312" w:eastAsia="仿宋_GB2312"/>
                      <w:sz w:val="21"/>
                    </w:rPr>
                    <w:t>1</w:t>
                  </w:r>
                  <w:r>
                    <w:rPr>
                      <w:rFonts w:ascii="仿宋_GB2312" w:hAnsi="仿宋_GB2312" w:cs="仿宋_GB2312" w:eastAsia="仿宋_GB2312"/>
                      <w:sz w:val="21"/>
                    </w:rPr>
                    <w:t>g</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电子化支付（人行）</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8</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  sbdb</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g</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社保系统</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29</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sbjh</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g</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社保数据交换</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WWDB</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g</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数据治理外网恢复</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31</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ZHZS</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MYSQL</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税收保障</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32</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MSSQL</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Sqlserver</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预算执行</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33</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MSSQL</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Sqlserver</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执行分析</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34</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FSPJ</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1</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非税票据</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35</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DZPZ</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1g</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电子凭证</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36</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CBXT</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Oracle11g</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政府财务报告</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37</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ZCGL</w:t>
                  </w:r>
                </w:p>
              </w:tc>
              <w:tc>
                <w:tcPr>
                  <w:tcW w:type="dxa" w:w="3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单机</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Dm8</w:t>
                  </w:r>
                </w:p>
              </w:tc>
              <w:tc>
                <w:tcPr>
                  <w:tcW w:type="dxa" w:w="10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资产管理</w:t>
                  </w:r>
                </w:p>
              </w:tc>
            </w:tr>
          </w:tbl>
          <w:p>
            <w:pPr>
              <w:pStyle w:val="null3"/>
              <w:jc w:val="both"/>
              <w:outlineLvl w:val="3"/>
            </w:pPr>
            <w:r>
              <w:rPr>
                <w:rFonts w:ascii="仿宋_GB2312" w:hAnsi="仿宋_GB2312" w:cs="仿宋_GB2312" w:eastAsia="仿宋_GB2312"/>
                <w:sz w:val="21"/>
                <w:b/>
              </w:rPr>
              <w:t>2、2025年厅中间件维保服务项目</w:t>
            </w:r>
          </w:p>
          <w:p>
            <w:pPr>
              <w:pStyle w:val="null3"/>
              <w:ind w:firstLine="1054"/>
              <w:jc w:val="center"/>
            </w:pPr>
            <w:r>
              <w:rPr>
                <w:rFonts w:ascii="仿宋_GB2312" w:hAnsi="仿宋_GB2312" w:cs="仿宋_GB2312" w:eastAsia="仿宋_GB2312"/>
                <w:sz w:val="21"/>
                <w:b/>
              </w:rPr>
              <w:t>2025年中间件维保服务项目明细表</w:t>
            </w:r>
          </w:p>
          <w:tbl>
            <w:tblPr>
              <w:tblInd w:type="dxa" w:w="135"/>
              <w:tblBorders>
                <w:top w:val="none" w:color="000000" w:sz="4"/>
                <w:left w:val="none" w:color="000000" w:sz="4"/>
                <w:bottom w:val="none" w:color="000000" w:sz="4"/>
                <w:right w:val="none" w:color="000000" w:sz="4"/>
                <w:insideH w:val="none"/>
                <w:insideV w:val="none"/>
              </w:tblBorders>
            </w:tblPr>
            <w:tblGrid>
              <w:gridCol w:w="163"/>
              <w:gridCol w:w="451"/>
              <w:gridCol w:w="239"/>
              <w:gridCol w:w="386"/>
              <w:gridCol w:w="370"/>
              <w:gridCol w:w="342"/>
              <w:gridCol w:w="337"/>
              <w:gridCol w:w="239"/>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项目名称</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部署架构</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操作系统类型</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中间件类型</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中间件版本</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JDK版本</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电子凭证库</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w:t>
                  </w:r>
                  <w:r>
                    <w:rPr>
                      <w:rFonts w:ascii="仿宋_GB2312" w:hAnsi="仿宋_GB2312" w:cs="仿宋_GB2312" w:eastAsia="仿宋_GB2312"/>
                      <w:sz w:val="21"/>
                    </w:rPr>
                    <w:t>entOS 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weblogic</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JDK1.6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电子签章管理系统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w:t>
                  </w:r>
                  <w:r>
                    <w:rPr>
                      <w:rFonts w:ascii="仿宋_GB2312" w:hAnsi="仿宋_GB2312" w:cs="仿宋_GB2312" w:eastAsia="仿宋_GB2312"/>
                      <w:sz w:val="21"/>
                    </w:rPr>
                    <w:t>entOS 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weblogic</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JDK1.6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陕西财政行政信息化管理系统（OA系统）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中标麒麟v4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tongweb</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7.0.4.1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1.8.0_181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财政云门户</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CentOS 7.2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tomcat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8.5.72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1.7.0_51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陕西省财政厅绩效考核系统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统信 V20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tongweb</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7.0.4.6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1.8.0_212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陕西省会计管理信息系统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CentOS 7.2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weblogic</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12.2.0.4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JDK1.8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陕西财政惠民补贴资金”一卡通“兑付系统</w:t>
                  </w:r>
                </w:p>
              </w:tc>
              <w:tc>
                <w:tcPr>
                  <w:tcW w:type="dxa" w:w="2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统信UOS V20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tongweb</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63"/>
                  <w:vMerge/>
                  <w:tcBorders>
                    <w:top w:val="none" w:color="000000" w:sz="4"/>
                    <w:left w:val="single" w:color="000000" w:sz="4"/>
                    <w:bottom w:val="single" w:color="000000" w:sz="4"/>
                    <w:right w:val="single" w:color="000000" w:sz="4"/>
                  </w:tcBorders>
                </w:tcPr>
                <w:p/>
              </w:tc>
              <w:tc>
                <w:tcPr>
                  <w:tcW w:type="dxa" w:w="451"/>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CentOS 7.0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ibmmq</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陕西省财政惠民补贴“一卡通”公众服务平台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w:t>
                  </w:r>
                  <w:r>
                    <w:rPr>
                      <w:rFonts w:ascii="仿宋_GB2312" w:hAnsi="仿宋_GB2312" w:cs="仿宋_GB2312" w:eastAsia="仿宋_GB2312"/>
                      <w:sz w:val="21"/>
                    </w:rPr>
                    <w:t>/S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w:t>
                  </w:r>
                  <w:r>
                    <w:rPr>
                      <w:rFonts w:ascii="仿宋_GB2312" w:hAnsi="仿宋_GB2312" w:cs="仿宋_GB2312" w:eastAsia="仿宋_GB2312"/>
                      <w:sz w:val="21"/>
                    </w:rPr>
                    <w:t>entOS 7.0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tomcat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政府债券项目穿透式监测系统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CentOS 7.0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weblogic</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地方政府性债务管理系统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统信UOS V20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tongweb</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陕西省政府采购系统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CentOS 7.0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tomcat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9.0.59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陕西省非税暨票据管理一体化平台（非税和电子票据系统）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CentOS 7.0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weblogic</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jdk1.8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陕西省社会保障资金信息管理系统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CentOS 6.0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weblogic</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jdk1.6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财政信息化内控管理服务系统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中标麒麟v4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tongweb</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7.0.4.1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1.8.0_181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档案管理系统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中标麒麟v4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tongweb</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7.0.4.1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1.8.0_181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数科轻阅读</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中标麒麟v4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tongweb</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7.0.4.1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1.8.0_181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数科版式转换</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中标麒麟v4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tongweb</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7.0.4.1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1.8.0_181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政府财务报告系统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统信UOS V20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tongweb</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社保专户拨款系统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统信UOS V20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tongweb</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财政预算管理一体化系统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统信UOS V20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tongweb</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陕西省财政厅预算单位前置管理系统</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统信UOS V20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tongweb</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电子凭证库</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w:t>
                  </w:r>
                  <w:r>
                    <w:rPr>
                      <w:rFonts w:ascii="仿宋_GB2312" w:hAnsi="仿宋_GB2312" w:cs="仿宋_GB2312" w:eastAsia="仿宋_GB2312"/>
                      <w:sz w:val="21"/>
                    </w:rPr>
                    <w:t>entOS 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tonglink/q</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JDK1.6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bl>
          <w:p>
            <w:pPr>
              <w:pStyle w:val="null3"/>
              <w:jc w:val="both"/>
            </w:pPr>
            <w:r>
              <w:rPr>
                <w:rFonts w:ascii="仿宋_GB2312" w:hAnsi="仿宋_GB2312" w:cs="仿宋_GB2312" w:eastAsia="仿宋_GB2312"/>
                <w:sz w:val="21"/>
                <w:b/>
              </w:rPr>
              <w:t>三、采购项目执行的标准</w:t>
            </w:r>
          </w:p>
          <w:p>
            <w:pPr>
              <w:pStyle w:val="null3"/>
              <w:ind w:firstLine="420"/>
              <w:jc w:val="both"/>
            </w:pPr>
            <w:r>
              <w:rPr>
                <w:rFonts w:ascii="仿宋_GB2312" w:hAnsi="仿宋_GB2312" w:cs="仿宋_GB2312" w:eastAsia="仿宋_GB2312"/>
                <w:sz w:val="21"/>
              </w:rPr>
              <w:t>项目实现标准：项目需依据行业标准和软件产品手册与最佳实践，并充分考虑系统性能、可维护性、扩展性等因素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四、采购项目满足的质量、安全</w:t>
            </w:r>
          </w:p>
          <w:p>
            <w:pPr>
              <w:pStyle w:val="null3"/>
              <w:ind w:firstLine="420"/>
              <w:jc w:val="both"/>
            </w:pPr>
            <w:r>
              <w:rPr>
                <w:rFonts w:ascii="仿宋_GB2312" w:hAnsi="仿宋_GB2312" w:cs="仿宋_GB2312" w:eastAsia="仿宋_GB2312"/>
                <w:sz w:val="21"/>
              </w:rPr>
              <w:t>供应商需有专门人员对财政非云数据库及中间件运行状态，运行风险进行检查，并持续进行运维服务改进。通过对服务质量进行监督和检查，确保服务符合采购方要求。同时供应商应遵守采购方的各项规章制度，签署相应的安全保密协议。</w:t>
            </w:r>
          </w:p>
          <w:p>
            <w:pPr>
              <w:pStyle w:val="null3"/>
              <w:jc w:val="both"/>
            </w:pPr>
            <w:r>
              <w:rPr>
                <w:rFonts w:ascii="仿宋_GB2312" w:hAnsi="仿宋_GB2312" w:cs="仿宋_GB2312" w:eastAsia="仿宋_GB2312"/>
                <w:sz w:val="21"/>
                <w:b/>
              </w:rPr>
              <w:t>五、采购项目的服务标准、期限、效率要求</w:t>
            </w:r>
          </w:p>
          <w:p>
            <w:pPr>
              <w:pStyle w:val="null3"/>
              <w:ind w:firstLine="420"/>
              <w:jc w:val="both"/>
            </w:pPr>
            <w:r>
              <w:rPr>
                <w:rFonts w:ascii="仿宋_GB2312" w:hAnsi="仿宋_GB2312" w:cs="仿宋_GB2312" w:eastAsia="仿宋_GB2312"/>
                <w:sz w:val="21"/>
              </w:rPr>
              <w:t>指派有丰富经验的工程师</w:t>
            </w:r>
            <w:r>
              <w:rPr>
                <w:rFonts w:ascii="仿宋_GB2312" w:hAnsi="仿宋_GB2312" w:cs="仿宋_GB2312" w:eastAsia="仿宋_GB2312"/>
                <w:sz w:val="21"/>
              </w:rPr>
              <w:t>5*8小时驻场服务，数据库运维工程师提供每季度一次的性能分析优化服务；运维工程师主要工作为日常巡检、故障处理、性能检测、数据库及中间件系统升级，技术支持保障工作，重大节假日系统护航服务。</w:t>
            </w:r>
          </w:p>
          <w:p>
            <w:pPr>
              <w:pStyle w:val="null3"/>
              <w:ind w:firstLine="420"/>
              <w:jc w:val="both"/>
            </w:pPr>
            <w:r>
              <w:rPr>
                <w:rFonts w:ascii="仿宋_GB2312" w:hAnsi="仿宋_GB2312" w:cs="仿宋_GB2312" w:eastAsia="仿宋_GB2312"/>
                <w:sz w:val="21"/>
              </w:rPr>
              <w:t>1、保障数据库</w:t>
            </w:r>
            <w:r>
              <w:rPr>
                <w:rFonts w:ascii="仿宋_GB2312" w:hAnsi="仿宋_GB2312" w:cs="仿宋_GB2312" w:eastAsia="仿宋_GB2312"/>
                <w:sz w:val="21"/>
              </w:rPr>
              <w:t>及</w:t>
            </w:r>
            <w:r>
              <w:rPr>
                <w:rFonts w:ascii="仿宋_GB2312" w:hAnsi="仿宋_GB2312" w:cs="仿宋_GB2312" w:eastAsia="仿宋_GB2312"/>
                <w:sz w:val="21"/>
              </w:rPr>
              <w:t>中间件系统正常运行。</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数据库</w:t>
            </w:r>
            <w:r>
              <w:rPr>
                <w:rFonts w:ascii="仿宋_GB2312" w:hAnsi="仿宋_GB2312" w:cs="仿宋_GB2312" w:eastAsia="仿宋_GB2312"/>
                <w:sz w:val="21"/>
              </w:rPr>
              <w:t>及</w:t>
            </w:r>
            <w:r>
              <w:rPr>
                <w:rFonts w:ascii="仿宋_GB2312" w:hAnsi="仿宋_GB2312" w:cs="仿宋_GB2312" w:eastAsia="仿宋_GB2312"/>
                <w:sz w:val="21"/>
              </w:rPr>
              <w:t>中间件</w:t>
            </w:r>
            <w:r>
              <w:rPr>
                <w:rFonts w:ascii="仿宋_GB2312" w:hAnsi="仿宋_GB2312" w:cs="仿宋_GB2312" w:eastAsia="仿宋_GB2312"/>
                <w:sz w:val="21"/>
              </w:rPr>
              <w:t>例行巡检，每日巡检报告。</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协助数据库</w:t>
            </w:r>
            <w:r>
              <w:rPr>
                <w:rFonts w:ascii="仿宋_GB2312" w:hAnsi="仿宋_GB2312" w:cs="仿宋_GB2312" w:eastAsia="仿宋_GB2312"/>
                <w:sz w:val="21"/>
              </w:rPr>
              <w:t>及</w:t>
            </w:r>
            <w:r>
              <w:rPr>
                <w:rFonts w:ascii="仿宋_GB2312" w:hAnsi="仿宋_GB2312" w:cs="仿宋_GB2312" w:eastAsia="仿宋_GB2312"/>
                <w:sz w:val="21"/>
              </w:rPr>
              <w:t>中间件运维管理标准流程规范的制定。</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协助陕西财政数据库</w:t>
            </w:r>
            <w:r>
              <w:rPr>
                <w:rFonts w:ascii="仿宋_GB2312" w:hAnsi="仿宋_GB2312" w:cs="仿宋_GB2312" w:eastAsia="仿宋_GB2312"/>
                <w:sz w:val="21"/>
              </w:rPr>
              <w:t>及</w:t>
            </w:r>
            <w:r>
              <w:rPr>
                <w:rFonts w:ascii="仿宋_GB2312" w:hAnsi="仿宋_GB2312" w:cs="仿宋_GB2312" w:eastAsia="仿宋_GB2312"/>
                <w:sz w:val="21"/>
              </w:rPr>
              <w:t>中间件管理规章制度的制定。</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协助全省财政及省财政厅数据库、中间件及应用服务器架构设计、部署方案设计。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协助陕西省财政厅应用安全策略制定，包括</w:t>
            </w:r>
            <w:r>
              <w:rPr>
                <w:rFonts w:ascii="仿宋_GB2312" w:hAnsi="仿宋_GB2312" w:cs="仿宋_GB2312" w:eastAsia="仿宋_GB2312"/>
                <w:sz w:val="21"/>
              </w:rPr>
              <w:t>数据库及</w:t>
            </w:r>
            <w:r>
              <w:rPr>
                <w:rFonts w:ascii="仿宋_GB2312" w:hAnsi="仿宋_GB2312" w:cs="仿宋_GB2312" w:eastAsia="仿宋_GB2312"/>
                <w:sz w:val="21"/>
              </w:rPr>
              <w:t>中间件本地备份恢复策略、远程异地备份恢复策略、基于应用支撑平台的同城容灾系统设计、陕西省全省财政应用系统安全应急预案。</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数据库</w:t>
            </w:r>
            <w:r>
              <w:rPr>
                <w:rFonts w:ascii="仿宋_GB2312" w:hAnsi="仿宋_GB2312" w:cs="仿宋_GB2312" w:eastAsia="仿宋_GB2312"/>
                <w:sz w:val="21"/>
              </w:rPr>
              <w:t>及</w:t>
            </w:r>
            <w:r>
              <w:rPr>
                <w:rFonts w:ascii="仿宋_GB2312" w:hAnsi="仿宋_GB2312" w:cs="仿宋_GB2312" w:eastAsia="仿宋_GB2312"/>
                <w:sz w:val="21"/>
              </w:rPr>
              <w:t>中间件运行性能日常监控指标。</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配合进行应用服务迁移。</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数据库</w:t>
            </w:r>
            <w:r>
              <w:rPr>
                <w:rFonts w:ascii="仿宋_GB2312" w:hAnsi="仿宋_GB2312" w:cs="仿宋_GB2312" w:eastAsia="仿宋_GB2312"/>
                <w:sz w:val="21"/>
              </w:rPr>
              <w:t>及</w:t>
            </w:r>
            <w:r>
              <w:rPr>
                <w:rFonts w:ascii="仿宋_GB2312" w:hAnsi="仿宋_GB2312" w:cs="仿宋_GB2312" w:eastAsia="仿宋_GB2312"/>
                <w:sz w:val="21"/>
              </w:rPr>
              <w:t>中间件产品升级及补丁安装工作。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甲方要求的其他支持服务。</w:t>
            </w:r>
          </w:p>
          <w:p>
            <w:pPr>
              <w:pStyle w:val="null3"/>
              <w:ind w:firstLine="420"/>
              <w:jc w:val="both"/>
            </w:pPr>
            <w:r>
              <w:rPr>
                <w:rFonts w:ascii="仿宋_GB2312" w:hAnsi="仿宋_GB2312" w:cs="仿宋_GB2312" w:eastAsia="仿宋_GB2312"/>
                <w:sz w:val="21"/>
              </w:rPr>
              <w:t>2、针对本项目的专家团队远程服务（全年7×24小时）。</w:t>
            </w:r>
          </w:p>
          <w:p>
            <w:pPr>
              <w:pStyle w:val="null3"/>
              <w:ind w:firstLine="420"/>
              <w:jc w:val="both"/>
            </w:pPr>
            <w:r>
              <w:rPr>
                <w:rFonts w:ascii="仿宋_GB2312" w:hAnsi="仿宋_GB2312" w:cs="仿宋_GB2312" w:eastAsia="仿宋_GB2312"/>
                <w:sz w:val="21"/>
              </w:rPr>
              <w:t>2.1热线电话支持。</w:t>
            </w:r>
          </w:p>
          <w:p>
            <w:pPr>
              <w:pStyle w:val="null3"/>
              <w:ind w:firstLine="420"/>
              <w:jc w:val="both"/>
            </w:pPr>
            <w:r>
              <w:rPr>
                <w:rFonts w:ascii="仿宋_GB2312" w:hAnsi="仿宋_GB2312" w:cs="仿宋_GB2312" w:eastAsia="仿宋_GB2312"/>
                <w:sz w:val="21"/>
              </w:rPr>
              <w:t>2.2电子邮件支持。</w:t>
            </w:r>
          </w:p>
          <w:p>
            <w:pPr>
              <w:pStyle w:val="null3"/>
              <w:ind w:firstLine="420"/>
              <w:jc w:val="both"/>
            </w:pPr>
            <w:r>
              <w:rPr>
                <w:rFonts w:ascii="仿宋_GB2312" w:hAnsi="仿宋_GB2312" w:cs="仿宋_GB2312" w:eastAsia="仿宋_GB2312"/>
                <w:sz w:val="21"/>
              </w:rPr>
              <w:t>2.3远程拨号服务（供应商技术顾问通过远程拨号登录财政方服务器，第一时间帮助解决问题）</w:t>
            </w:r>
          </w:p>
          <w:p>
            <w:pPr>
              <w:pStyle w:val="null3"/>
              <w:ind w:firstLine="420"/>
              <w:jc w:val="both"/>
            </w:pPr>
            <w:r>
              <w:rPr>
                <w:rFonts w:ascii="仿宋_GB2312" w:hAnsi="仿宋_GB2312" w:cs="仿宋_GB2312" w:eastAsia="仿宋_GB2312"/>
                <w:sz w:val="21"/>
              </w:rPr>
              <w:t>3、应急现场支持。</w:t>
            </w:r>
          </w:p>
          <w:p>
            <w:pPr>
              <w:pStyle w:val="null3"/>
              <w:ind w:firstLine="420"/>
              <w:jc w:val="both"/>
            </w:pPr>
            <w:r>
              <w:rPr>
                <w:rFonts w:ascii="仿宋_GB2312" w:hAnsi="仿宋_GB2312" w:cs="仿宋_GB2312" w:eastAsia="仿宋_GB2312"/>
                <w:sz w:val="21"/>
              </w:rPr>
              <w:t>工作时间之外，包括工作日</w:t>
            </w:r>
            <w:r>
              <w:rPr>
                <w:rFonts w:ascii="仿宋_GB2312" w:hAnsi="仿宋_GB2312" w:cs="仿宋_GB2312" w:eastAsia="仿宋_GB2312"/>
                <w:sz w:val="21"/>
              </w:rPr>
              <w:t>8小时之外、法定节假日数据库</w:t>
            </w:r>
            <w:r>
              <w:rPr>
                <w:rFonts w:ascii="仿宋_GB2312" w:hAnsi="仿宋_GB2312" w:cs="仿宋_GB2312" w:eastAsia="仿宋_GB2312"/>
                <w:sz w:val="21"/>
              </w:rPr>
              <w:t>及</w:t>
            </w:r>
            <w:r>
              <w:rPr>
                <w:rFonts w:ascii="仿宋_GB2312" w:hAnsi="仿宋_GB2312" w:cs="仿宋_GB2312" w:eastAsia="仿宋_GB2312"/>
                <w:sz w:val="21"/>
              </w:rPr>
              <w:t>中间件发生故障的现场应急处理。要求工程师</w:t>
            </w:r>
            <w:r>
              <w:rPr>
                <w:rFonts w:ascii="仿宋_GB2312" w:hAnsi="仿宋_GB2312" w:cs="仿宋_GB2312" w:eastAsia="仿宋_GB2312"/>
                <w:sz w:val="21"/>
              </w:rPr>
              <w:t>2小时内到达现场。</w:t>
            </w:r>
          </w:p>
          <w:p>
            <w:pPr>
              <w:pStyle w:val="null3"/>
              <w:ind w:firstLine="420"/>
              <w:jc w:val="both"/>
            </w:pPr>
            <w:r>
              <w:rPr>
                <w:rFonts w:ascii="仿宋_GB2312" w:hAnsi="仿宋_GB2312" w:cs="仿宋_GB2312" w:eastAsia="仿宋_GB2312"/>
                <w:sz w:val="21"/>
              </w:rPr>
              <w:t>3.1数据库故障处理</w:t>
            </w:r>
          </w:p>
          <w:p>
            <w:pPr>
              <w:pStyle w:val="null3"/>
              <w:ind w:firstLine="420"/>
              <w:jc w:val="both"/>
            </w:pPr>
            <w:r>
              <w:rPr>
                <w:rFonts w:ascii="仿宋_GB2312" w:hAnsi="仿宋_GB2312" w:cs="仿宋_GB2312" w:eastAsia="仿宋_GB2312"/>
                <w:sz w:val="21"/>
              </w:rPr>
              <w:t>3.2中间件灾难恢复。</w:t>
            </w:r>
          </w:p>
          <w:p>
            <w:pPr>
              <w:pStyle w:val="null3"/>
              <w:ind w:firstLine="420"/>
              <w:jc w:val="both"/>
            </w:pPr>
            <w:r>
              <w:rPr>
                <w:rFonts w:ascii="仿宋_GB2312" w:hAnsi="仿宋_GB2312" w:cs="仿宋_GB2312" w:eastAsia="仿宋_GB2312"/>
                <w:sz w:val="21"/>
              </w:rPr>
              <w:t>4、高级支持。</w:t>
            </w:r>
          </w:p>
          <w:p>
            <w:pPr>
              <w:pStyle w:val="null3"/>
              <w:ind w:firstLine="420"/>
              <w:jc w:val="both"/>
            </w:pPr>
            <w:r>
              <w:rPr>
                <w:rFonts w:ascii="仿宋_GB2312" w:hAnsi="仿宋_GB2312" w:cs="仿宋_GB2312" w:eastAsia="仿宋_GB2312"/>
                <w:sz w:val="21"/>
              </w:rPr>
              <w:t>4.1针对陕西财政业务应用系统建设，对Jboss、weblogic、webphere、tongweb、tonglink/q、glassfish、apath、tomcat等各种主流中间件的测试、技术架构咨询、技术方案设计及管理培训。</w:t>
            </w:r>
          </w:p>
          <w:p>
            <w:pPr>
              <w:pStyle w:val="null3"/>
              <w:ind w:firstLine="420"/>
              <w:jc w:val="both"/>
            </w:pPr>
            <w:r>
              <w:rPr>
                <w:rFonts w:ascii="仿宋_GB2312" w:hAnsi="仿宋_GB2312" w:cs="仿宋_GB2312" w:eastAsia="仿宋_GB2312"/>
                <w:sz w:val="21"/>
              </w:rPr>
              <w:t>4.2针对全省财政业务应用系统中间件架构设计。</w:t>
            </w:r>
          </w:p>
          <w:p>
            <w:pPr>
              <w:pStyle w:val="null3"/>
              <w:ind w:firstLine="420"/>
              <w:jc w:val="both"/>
            </w:pPr>
            <w:r>
              <w:rPr>
                <w:rFonts w:ascii="仿宋_GB2312" w:hAnsi="仿宋_GB2312" w:cs="仿宋_GB2312" w:eastAsia="仿宋_GB2312"/>
                <w:sz w:val="21"/>
              </w:rPr>
              <w:t>4.3其他数据库系统规划、架构设计等重大项目咨询及方案规划。</w:t>
            </w:r>
          </w:p>
          <w:p>
            <w:pPr>
              <w:pStyle w:val="null3"/>
              <w:jc w:val="both"/>
            </w:pPr>
            <w:r>
              <w:rPr>
                <w:rFonts w:ascii="仿宋_GB2312" w:hAnsi="仿宋_GB2312" w:cs="仿宋_GB2312" w:eastAsia="仿宋_GB2312"/>
                <w:sz w:val="21"/>
              </w:rPr>
              <w:t xml:space="preserve">    4.4数据库选型等咨询工作。</w:t>
            </w:r>
          </w:p>
          <w:p>
            <w:pPr>
              <w:pStyle w:val="null3"/>
              <w:ind w:firstLine="420"/>
              <w:jc w:val="both"/>
            </w:pPr>
            <w:r>
              <w:rPr>
                <w:rFonts w:ascii="仿宋_GB2312" w:hAnsi="仿宋_GB2312" w:cs="仿宋_GB2312" w:eastAsia="仿宋_GB2312"/>
                <w:sz w:val="21"/>
              </w:rPr>
              <w:t>5、技术培训。</w:t>
            </w:r>
          </w:p>
          <w:p>
            <w:pPr>
              <w:pStyle w:val="null3"/>
              <w:ind w:firstLine="420"/>
              <w:jc w:val="both"/>
            </w:pPr>
            <w:r>
              <w:rPr>
                <w:rFonts w:ascii="仿宋_GB2312" w:hAnsi="仿宋_GB2312" w:cs="仿宋_GB2312" w:eastAsia="仿宋_GB2312"/>
                <w:sz w:val="21"/>
              </w:rPr>
              <w:t>陕西财政厅数据库、中间件管理人员日常培训，技术培训与服务支持相结合。每月新技术培训。</w:t>
            </w:r>
          </w:p>
          <w:p>
            <w:pPr>
              <w:pStyle w:val="null3"/>
              <w:jc w:val="both"/>
            </w:pPr>
            <w:r>
              <w:rPr>
                <w:rFonts w:ascii="仿宋_GB2312" w:hAnsi="仿宋_GB2312" w:cs="仿宋_GB2312" w:eastAsia="仿宋_GB2312"/>
                <w:sz w:val="21"/>
                <w:b/>
              </w:rPr>
              <w:t>六、项目运维人员及期限</w:t>
            </w:r>
          </w:p>
          <w:p>
            <w:pPr>
              <w:pStyle w:val="null3"/>
              <w:ind w:firstLine="420"/>
              <w:jc w:val="left"/>
            </w:pPr>
            <w:r>
              <w:rPr>
                <w:rFonts w:ascii="仿宋_GB2312" w:hAnsi="仿宋_GB2312" w:cs="仿宋_GB2312" w:eastAsia="仿宋_GB2312"/>
                <w:sz w:val="21"/>
              </w:rPr>
              <w:t>运维人员：数据库及中间件需各提供驻场服务工程师</w:t>
            </w:r>
            <w:r>
              <w:rPr>
                <w:rFonts w:ascii="仿宋_GB2312" w:hAnsi="仿宋_GB2312" w:cs="仿宋_GB2312" w:eastAsia="仿宋_GB2312"/>
                <w:sz w:val="21"/>
              </w:rPr>
              <w:t>1名，共计2名。</w:t>
            </w:r>
          </w:p>
          <w:p>
            <w:pPr>
              <w:pStyle w:val="null3"/>
              <w:ind w:firstLine="420"/>
              <w:jc w:val="left"/>
            </w:pPr>
            <w:r>
              <w:rPr>
                <w:rFonts w:ascii="仿宋_GB2312" w:hAnsi="仿宋_GB2312" w:cs="仿宋_GB2312" w:eastAsia="仿宋_GB2312"/>
                <w:sz w:val="21"/>
              </w:rPr>
              <w:t>项目运维时间：一年</w:t>
            </w:r>
          </w:p>
          <w:p>
            <w:pPr>
              <w:pStyle w:val="null3"/>
              <w:ind w:firstLine="420"/>
              <w:jc w:val="left"/>
            </w:pPr>
            <w:r>
              <w:rPr>
                <w:rFonts w:ascii="仿宋_GB2312" w:hAnsi="仿宋_GB2312" w:cs="仿宋_GB2312" w:eastAsia="仿宋_GB2312"/>
                <w:sz w:val="21"/>
              </w:rPr>
              <w:t>项目运维地点：陕西省财政厅</w:t>
            </w:r>
          </w:p>
          <w:p>
            <w:pPr>
              <w:pStyle w:val="null3"/>
              <w:jc w:val="both"/>
            </w:pPr>
            <w:r>
              <w:rPr>
                <w:rFonts w:ascii="仿宋_GB2312" w:hAnsi="仿宋_GB2312" w:cs="仿宋_GB2312" w:eastAsia="仿宋_GB2312"/>
                <w:sz w:val="21"/>
                <w:b/>
              </w:rPr>
              <w:t>七、项目运维及培训服务要求</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运维</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驻场运维人员必须服从甲方的统一管理。乙方提供全年</w:t>
            </w:r>
            <w:r>
              <w:rPr>
                <w:rFonts w:ascii="仿宋_GB2312" w:hAnsi="仿宋_GB2312" w:cs="仿宋_GB2312" w:eastAsia="仿宋_GB2312"/>
                <w:sz w:val="21"/>
              </w:rPr>
              <w:t>7×24小时电话服务，1小时内做出明确的响应安排，4小时内做出故障诊断报告，如需现场服务的，具有解决故障能力的工程师将在规定的时间内到达现场（4小时内）。</w:t>
            </w:r>
          </w:p>
          <w:p>
            <w:pPr>
              <w:pStyle w:val="null3"/>
              <w:ind w:firstLine="422"/>
              <w:jc w:val="both"/>
            </w:pPr>
            <w:r>
              <w:rPr>
                <w:rFonts w:ascii="仿宋_GB2312" w:hAnsi="仿宋_GB2312" w:cs="仿宋_GB2312" w:eastAsia="仿宋_GB2312"/>
                <w:sz w:val="21"/>
                <w:b/>
              </w:rPr>
              <w:t>2、培训服务要求</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培训地点：</w:t>
            </w:r>
            <w:r>
              <w:rPr>
                <w:rFonts w:ascii="仿宋_GB2312" w:hAnsi="仿宋_GB2312" w:cs="仿宋_GB2312" w:eastAsia="仿宋_GB2312"/>
                <w:sz w:val="21"/>
              </w:rPr>
              <w:t>陕西</w:t>
            </w:r>
            <w:r>
              <w:rPr>
                <w:rFonts w:ascii="仿宋_GB2312" w:hAnsi="仿宋_GB2312" w:cs="仿宋_GB2312" w:eastAsia="仿宋_GB2312"/>
                <w:sz w:val="21"/>
              </w:rPr>
              <w:t>省财政厅。</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培训时间：</w:t>
            </w:r>
            <w:r>
              <w:rPr>
                <w:rFonts w:ascii="仿宋_GB2312" w:hAnsi="仿宋_GB2312" w:cs="仿宋_GB2312" w:eastAsia="仿宋_GB2312"/>
                <w:sz w:val="21"/>
              </w:rPr>
              <w:t>陕西</w:t>
            </w:r>
            <w:r>
              <w:rPr>
                <w:rFonts w:ascii="仿宋_GB2312" w:hAnsi="仿宋_GB2312" w:cs="仿宋_GB2312" w:eastAsia="仿宋_GB2312"/>
                <w:sz w:val="21"/>
              </w:rPr>
              <w:t>省财政厅指定时间</w:t>
            </w:r>
          </w:p>
          <w:p>
            <w:pPr>
              <w:pStyle w:val="null3"/>
              <w:ind w:firstLine="420"/>
              <w:jc w:val="both"/>
            </w:pPr>
            <w:r>
              <w:rPr>
                <w:rFonts w:ascii="仿宋_GB2312" w:hAnsi="仿宋_GB2312" w:cs="仿宋_GB2312" w:eastAsia="仿宋_GB2312"/>
                <w:sz w:val="21"/>
              </w:rPr>
              <w:t>根据本</w:t>
            </w:r>
            <w:r>
              <w:rPr>
                <w:rFonts w:ascii="仿宋_GB2312" w:hAnsi="仿宋_GB2312" w:cs="仿宋_GB2312" w:eastAsia="仿宋_GB2312"/>
                <w:sz w:val="21"/>
              </w:rPr>
              <w:t>项目</w:t>
            </w:r>
            <w:r>
              <w:rPr>
                <w:rFonts w:ascii="仿宋_GB2312" w:hAnsi="仿宋_GB2312" w:cs="仿宋_GB2312" w:eastAsia="仿宋_GB2312"/>
                <w:sz w:val="21"/>
              </w:rPr>
              <w:t>的特点和培训要求，</w:t>
            </w:r>
            <w:r>
              <w:rPr>
                <w:rFonts w:ascii="仿宋_GB2312" w:hAnsi="仿宋_GB2312" w:cs="仿宋_GB2312" w:eastAsia="仿宋_GB2312"/>
                <w:sz w:val="21"/>
              </w:rPr>
              <w:t>需为数据库及中间件</w:t>
            </w:r>
            <w:r>
              <w:rPr>
                <w:rFonts w:ascii="仿宋_GB2312" w:hAnsi="仿宋_GB2312" w:cs="仿宋_GB2312" w:eastAsia="仿宋_GB2312"/>
                <w:sz w:val="21"/>
              </w:rPr>
              <w:t>操作</w:t>
            </w:r>
            <w:r>
              <w:rPr>
                <w:rFonts w:ascii="仿宋_GB2312" w:hAnsi="仿宋_GB2312" w:cs="仿宋_GB2312" w:eastAsia="仿宋_GB2312"/>
                <w:sz w:val="21"/>
              </w:rPr>
              <w:t>的相关人员提供免费（包含培训讲师、培训教材、培训课件）、人员不限现场培训，确保财政用户切实掌握本项目所</w:t>
            </w:r>
            <w:r>
              <w:rPr>
                <w:rFonts w:ascii="仿宋_GB2312" w:hAnsi="仿宋_GB2312" w:cs="仿宋_GB2312" w:eastAsia="仿宋_GB2312"/>
                <w:sz w:val="21"/>
              </w:rPr>
              <w:t>管理</w:t>
            </w:r>
            <w:r>
              <w:rPr>
                <w:rFonts w:ascii="仿宋_GB2312" w:hAnsi="仿宋_GB2312" w:cs="仿宋_GB2312" w:eastAsia="仿宋_GB2312"/>
                <w:sz w:val="21"/>
              </w:rPr>
              <w:t>系统相关功能的使用，从而充分发挥系统的作用、真正提高陕西省财政系统相关业务人员的工作效率和管理水平，具体</w:t>
            </w:r>
            <w:r>
              <w:rPr>
                <w:rFonts w:ascii="仿宋_GB2312" w:hAnsi="仿宋_GB2312" w:cs="仿宋_GB2312" w:eastAsia="仿宋_GB2312"/>
                <w:sz w:val="21"/>
              </w:rPr>
              <w:t>培训</w:t>
            </w:r>
            <w:r>
              <w:rPr>
                <w:rFonts w:ascii="仿宋_GB2312" w:hAnsi="仿宋_GB2312" w:cs="仿宋_GB2312" w:eastAsia="仿宋_GB2312"/>
                <w:sz w:val="21"/>
              </w:rPr>
              <w:t>时间和地点将与</w:t>
            </w:r>
            <w:r>
              <w:rPr>
                <w:rFonts w:ascii="仿宋_GB2312" w:hAnsi="仿宋_GB2312" w:cs="仿宋_GB2312" w:eastAsia="仿宋_GB2312"/>
                <w:sz w:val="21"/>
              </w:rPr>
              <w:t>用户方</w:t>
            </w:r>
            <w:r>
              <w:rPr>
                <w:rFonts w:ascii="仿宋_GB2312" w:hAnsi="仿宋_GB2312" w:cs="仿宋_GB2312" w:eastAsia="仿宋_GB2312"/>
                <w:sz w:val="21"/>
              </w:rPr>
              <w:t>协商确定。</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培训方式</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培训和辅导方式主要为集中培训和在线培训，具体培训方式由</w:t>
            </w:r>
            <w:r>
              <w:rPr>
                <w:rFonts w:ascii="仿宋_GB2312" w:hAnsi="仿宋_GB2312" w:cs="仿宋_GB2312" w:eastAsia="仿宋_GB2312"/>
                <w:sz w:val="21"/>
              </w:rPr>
              <w:t>用户方</w:t>
            </w:r>
            <w:r>
              <w:rPr>
                <w:rFonts w:ascii="仿宋_GB2312" w:hAnsi="仿宋_GB2312" w:cs="仿宋_GB2312" w:eastAsia="仿宋_GB2312"/>
                <w:sz w:val="21"/>
              </w:rPr>
              <w:t>自行选择。</w:t>
            </w:r>
          </w:p>
          <w:p>
            <w:pPr>
              <w:pStyle w:val="null3"/>
              <w:numPr>
                <w:ilvl w:val="0"/>
                <w:numId w:val="1"/>
              </w:numPr>
              <w:jc w:val="both"/>
            </w:pPr>
            <w:r>
              <w:rPr>
                <w:rFonts w:ascii="仿宋_GB2312" w:hAnsi="仿宋_GB2312" w:cs="仿宋_GB2312" w:eastAsia="仿宋_GB2312"/>
                <w:sz w:val="21"/>
              </w:rPr>
              <w:t>集中培训</w:t>
            </w:r>
          </w:p>
          <w:p>
            <w:pPr>
              <w:pStyle w:val="null3"/>
              <w:ind w:firstLine="420"/>
              <w:jc w:val="both"/>
            </w:pPr>
            <w:r>
              <w:rPr>
                <w:rFonts w:ascii="仿宋_GB2312" w:hAnsi="仿宋_GB2312" w:cs="仿宋_GB2312" w:eastAsia="仿宋_GB2312"/>
                <w:sz w:val="21"/>
              </w:rPr>
              <w:t>指以培训班的形式定期举办的针对多个用户的集中培训，上机实操考核等。这一方式的教学特点是，主要侧重于课堂讲解，老师学员部分互动式。批量集中培训需要制定培训计划，经项目发起人批准后实施。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）线上培训</w:t>
            </w:r>
          </w:p>
          <w:p>
            <w:pPr>
              <w:pStyle w:val="null3"/>
              <w:ind w:firstLine="420"/>
              <w:jc w:val="both"/>
            </w:pPr>
            <w:r>
              <w:rPr>
                <w:rFonts w:ascii="仿宋_GB2312" w:hAnsi="仿宋_GB2312" w:cs="仿宋_GB2312" w:eastAsia="仿宋_GB2312"/>
                <w:sz w:val="21"/>
              </w:rPr>
              <w:t>指经</w:t>
            </w:r>
            <w:r>
              <w:rPr>
                <w:rFonts w:ascii="仿宋_GB2312" w:hAnsi="仿宋_GB2312" w:cs="仿宋_GB2312" w:eastAsia="仿宋_GB2312"/>
                <w:sz w:val="21"/>
              </w:rPr>
              <w:t>用户方</w:t>
            </w:r>
            <w:r>
              <w:rPr>
                <w:rFonts w:ascii="仿宋_GB2312" w:hAnsi="仿宋_GB2312" w:cs="仿宋_GB2312" w:eastAsia="仿宋_GB2312"/>
                <w:sz w:val="21"/>
              </w:rPr>
              <w:t>批准，本项目系统的培训可以通过线上培训完成。</w:t>
            </w:r>
          </w:p>
          <w:p>
            <w:pPr>
              <w:pStyle w:val="null3"/>
              <w:spacing w:after="120"/>
              <w:jc w:val="both"/>
            </w:pPr>
            <w:r>
              <w:rPr>
                <w:rFonts w:ascii="仿宋_GB2312" w:hAnsi="仿宋_GB2312" w:cs="仿宋_GB2312" w:eastAsia="仿宋_GB2312"/>
                <w:sz w:val="21"/>
                <w:b/>
              </w:rPr>
              <w:t>八、项目验收要求</w:t>
            </w:r>
          </w:p>
          <w:p>
            <w:pPr>
              <w:pStyle w:val="null3"/>
              <w:spacing w:after="120"/>
              <w:jc w:val="both"/>
            </w:pPr>
            <w:r>
              <w:rPr>
                <w:rFonts w:ascii="仿宋_GB2312" w:hAnsi="仿宋_GB2312" w:cs="仿宋_GB2312" w:eastAsia="仿宋_GB2312"/>
                <w:sz w:val="21"/>
              </w:rPr>
              <w:t>（一）项目验收</w:t>
            </w:r>
          </w:p>
          <w:p>
            <w:pPr>
              <w:pStyle w:val="null3"/>
              <w:spacing w:after="120"/>
              <w:jc w:val="both"/>
            </w:pPr>
            <w:r>
              <w:rPr>
                <w:rFonts w:ascii="仿宋_GB2312" w:hAnsi="仿宋_GB2312" w:cs="仿宋_GB2312" w:eastAsia="仿宋_GB2312"/>
                <w:sz w:val="21"/>
              </w:rPr>
              <w:t>1、项目验收：乙方先进行自检，自检合格并达到验收要求后，向甲方提交验收申请和验收方案，甲方可根据合同及技术要求对验收方案进行修改和补充，经各方确认后形成验收文件作为验收依据，并在此后10个工作日内，由甲方组织项目验收。甲方、乙方、监理单位、设计单位及相关单位参加验收。</w:t>
            </w:r>
          </w:p>
          <w:p>
            <w:pPr>
              <w:pStyle w:val="null3"/>
              <w:spacing w:after="120"/>
              <w:jc w:val="both"/>
            </w:pPr>
            <w:r>
              <w:rPr>
                <w:rFonts w:ascii="仿宋_GB2312" w:hAnsi="仿宋_GB2312" w:cs="仿宋_GB2312" w:eastAsia="仿宋_GB2312"/>
                <w:sz w:val="21"/>
              </w:rPr>
              <w:t>2、项目的文档包括但不限于下列资料：</w:t>
            </w:r>
          </w:p>
          <w:p>
            <w:pPr>
              <w:pStyle w:val="null3"/>
              <w:spacing w:after="120"/>
              <w:jc w:val="both"/>
            </w:pPr>
            <w:r>
              <w:rPr>
                <w:rFonts w:ascii="仿宋_GB2312" w:hAnsi="仿宋_GB2312" w:cs="仿宋_GB2312" w:eastAsia="仿宋_GB2312"/>
                <w:sz w:val="21"/>
              </w:rPr>
              <w:t>技术方案、实施方案、管理方案、安全运行保障方案、运行维护安全规划、安全操作规范、配置项的变更及发布文档、故障报告、巡检报告、运行维护日志、周报、月报、专题汇报等。</w:t>
            </w:r>
          </w:p>
          <w:p>
            <w:pPr>
              <w:pStyle w:val="null3"/>
              <w:spacing w:after="120"/>
              <w:jc w:val="both"/>
            </w:pPr>
            <w:r>
              <w:rPr>
                <w:rFonts w:ascii="仿宋_GB2312" w:hAnsi="仿宋_GB2312" w:cs="仿宋_GB2312" w:eastAsia="仿宋_GB2312"/>
                <w:sz w:val="21"/>
              </w:rPr>
              <w:t>（二）验收依据：</w:t>
            </w:r>
          </w:p>
          <w:p>
            <w:pPr>
              <w:pStyle w:val="null3"/>
              <w:spacing w:after="120"/>
              <w:jc w:val="both"/>
            </w:pPr>
            <w:r>
              <w:rPr>
                <w:rFonts w:ascii="仿宋_GB2312" w:hAnsi="仿宋_GB2312" w:cs="仿宋_GB2312" w:eastAsia="仿宋_GB2312"/>
                <w:sz w:val="21"/>
              </w:rPr>
              <w:t>1、本项目的《竞争性磋商文件》；</w:t>
            </w:r>
          </w:p>
          <w:p>
            <w:pPr>
              <w:pStyle w:val="null3"/>
              <w:spacing w:after="120"/>
              <w:jc w:val="both"/>
            </w:pPr>
            <w:r>
              <w:rPr>
                <w:rFonts w:ascii="仿宋_GB2312" w:hAnsi="仿宋_GB2312" w:cs="仿宋_GB2312" w:eastAsia="仿宋_GB2312"/>
                <w:sz w:val="21"/>
              </w:rPr>
              <w:t>2、中标供应商的《响应文件》；</w:t>
            </w:r>
          </w:p>
          <w:p>
            <w:pPr>
              <w:pStyle w:val="null3"/>
              <w:spacing w:after="120"/>
              <w:jc w:val="both"/>
            </w:pPr>
            <w:r>
              <w:rPr>
                <w:rFonts w:ascii="仿宋_GB2312" w:hAnsi="仿宋_GB2312" w:cs="仿宋_GB2312" w:eastAsia="仿宋_GB2312"/>
                <w:sz w:val="21"/>
              </w:rPr>
              <w:t>3、双方签署的《项目合同书》；</w:t>
            </w:r>
          </w:p>
          <w:p>
            <w:pPr>
              <w:pStyle w:val="null3"/>
              <w:spacing w:after="120"/>
              <w:jc w:val="both"/>
            </w:pPr>
            <w:r>
              <w:rPr>
                <w:rFonts w:ascii="仿宋_GB2312" w:hAnsi="仿宋_GB2312" w:cs="仿宋_GB2312" w:eastAsia="仿宋_GB2312"/>
                <w:sz w:val="21"/>
              </w:rPr>
              <w:t>4、经过甲方、乙方双方确认的运行维护实施方案；</w:t>
            </w:r>
          </w:p>
          <w:p>
            <w:pPr>
              <w:pStyle w:val="null3"/>
              <w:spacing w:after="120"/>
              <w:jc w:val="both"/>
            </w:pPr>
            <w:r>
              <w:rPr>
                <w:rFonts w:ascii="仿宋_GB2312" w:hAnsi="仿宋_GB2312" w:cs="仿宋_GB2312" w:eastAsia="仿宋_GB2312"/>
                <w:sz w:val="21"/>
              </w:rPr>
              <w:t>5、其他资料。</w:t>
            </w:r>
          </w:p>
          <w:p>
            <w:pPr>
              <w:pStyle w:val="null3"/>
              <w:spacing w:after="120"/>
              <w:jc w:val="both"/>
            </w:pPr>
            <w:r>
              <w:rPr>
                <w:rFonts w:ascii="仿宋_GB2312" w:hAnsi="仿宋_GB2312" w:cs="仿宋_GB2312" w:eastAsia="仿宋_GB2312"/>
                <w:sz w:val="21"/>
              </w:rPr>
              <w:t>6、严格按照《陕西省财政厅网络安全和信息化项目验收管理暂行办法》规定执行。</w:t>
            </w:r>
          </w:p>
          <w:p>
            <w:pPr>
              <w:pStyle w:val="null3"/>
              <w:spacing w:after="120"/>
              <w:jc w:val="both"/>
            </w:pPr>
            <w:r>
              <w:rPr>
                <w:rFonts w:ascii="仿宋_GB2312" w:hAnsi="仿宋_GB2312" w:cs="仿宋_GB2312" w:eastAsia="仿宋_GB2312"/>
                <w:sz w:val="21"/>
                <w:b/>
              </w:rPr>
              <w:t>九、保密要求</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运维服务商</w:t>
            </w:r>
            <w:r>
              <w:rPr>
                <w:rFonts w:ascii="仿宋_GB2312" w:hAnsi="仿宋_GB2312" w:cs="仿宋_GB2312" w:eastAsia="仿宋_GB2312"/>
                <w:sz w:val="21"/>
              </w:rPr>
              <w:t>签订保密协议，对其因身份、职务、职业或技术关系而知悉的采购人商业秘密和党政机关保密信息应严格保守，保证不被披露或使用，包括意外或过失。</w:t>
            </w:r>
          </w:p>
          <w:p>
            <w:pPr>
              <w:pStyle w:val="null3"/>
              <w:spacing w:after="120"/>
              <w:jc w:val="both"/>
            </w:pPr>
            <w:r>
              <w:rPr>
                <w:rFonts w:ascii="仿宋_GB2312" w:hAnsi="仿宋_GB2312" w:cs="仿宋_GB2312" w:eastAsia="仿宋_GB2312"/>
                <w:sz w:val="21"/>
              </w:rPr>
              <w:t>2.</w:t>
            </w:r>
            <w:r>
              <w:rPr>
                <w:rFonts w:ascii="仿宋_GB2312" w:hAnsi="仿宋_GB2312" w:cs="仿宋_GB2312" w:eastAsia="仿宋_GB2312"/>
                <w:sz w:val="21"/>
              </w:rPr>
              <w:t>运维服务商</w:t>
            </w:r>
            <w:r>
              <w:rPr>
                <w:rFonts w:ascii="仿宋_GB2312" w:hAnsi="仿宋_GB2312" w:cs="仿宋_GB2312" w:eastAsia="仿宋_GB2312"/>
                <w:sz w:val="21"/>
              </w:rPr>
              <w:t>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应答人在从事政府项目时，不得擅自记录、复制、拍摄、摘抄、收藏在工作中涉及的保密信息，严禁将涉及政府项目的任何资料、数据透露或以其他方式提供给项目以外的其他方或应答人内部与该项目无关的任何人员。</w:t>
            </w:r>
          </w:p>
          <w:p>
            <w:pPr>
              <w:pStyle w:val="null3"/>
              <w:spacing w:after="120"/>
              <w:jc w:val="both"/>
            </w:pPr>
            <w:r>
              <w:rPr>
                <w:rFonts w:ascii="仿宋_GB2312" w:hAnsi="仿宋_GB2312" w:cs="仿宋_GB2312" w:eastAsia="仿宋_GB2312"/>
                <w:sz w:val="21"/>
              </w:rPr>
              <w:t>3.</w:t>
            </w:r>
            <w:r>
              <w:rPr>
                <w:rFonts w:ascii="仿宋_GB2312" w:hAnsi="仿宋_GB2312" w:cs="仿宋_GB2312" w:eastAsia="仿宋_GB2312"/>
                <w:sz w:val="21"/>
              </w:rPr>
              <w:t>运维服务商</w:t>
            </w:r>
            <w:r>
              <w:rPr>
                <w:rFonts w:ascii="仿宋_GB2312" w:hAnsi="仿宋_GB2312" w:cs="仿宋_GB2312" w:eastAsia="仿宋_GB2312"/>
                <w:sz w:val="21"/>
              </w:rPr>
              <w:t>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4.严禁泄露在工作中接触到的政府机关科技研究、发明、装备器材及其技术资料和政府工作信息。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签订合同后，乙方书面提出支付申请函及与支付金额等额的增值税普通发票，甲方确认后启动首期款支付流程；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本项目经甲方验收通过后，乙方书面提出支付申请函及与支付金额等额的增值税普通发票，甲方确认后启动尾款支付流程；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其他资格证明文件.docx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其他资格证明文件.docx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供应商提供自2022年1月1日至今承接的类似项目的业绩：每提供一项得1分，最多得10分（以合同复印件为准，时间以合同签订时间为准，否则不得分）。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需求 理解</w:t>
            </w:r>
          </w:p>
        </w:tc>
        <w:tc>
          <w:tcPr>
            <w:tcW w:type="dxa" w:w="2492"/>
          </w:tcPr>
          <w:p>
            <w:pPr>
              <w:pStyle w:val="null3"/>
            </w:pPr>
            <w:r>
              <w:rPr>
                <w:rFonts w:ascii="仿宋_GB2312" w:hAnsi="仿宋_GB2312" w:cs="仿宋_GB2312" w:eastAsia="仿宋_GB2312"/>
              </w:rPr>
              <w:t>供应商结合采购需求进行自主分析，并对现有需求进行梳理。要求对项目需求充分理解，对政策把握准确，并结合现状，提出数据库及中间件现阶段维保存在得问题。 （1）方案逻辑层次清晰、针对性强、与采购内容的吻合程度高的，得10分； （2）方案逻辑层次较清晰、针对性较强、与采购内容的吻合程度一般，内容较简单的，得7分； （3）方案逻辑层次不清晰、不全面，得3分；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供应商根据本项目技术要求提供相应的运维方案，并根据运维方案的科学合理性、针对性等评审： （1）方案逻辑层次清晰、针对性强、与技术要求内容的吻合程度高的，得10分； （2）方案逻辑层一般、针对性一般，与维保内容的吻合程度差，得7分； （3）方案逻辑混乱、针对性差或无针对性，得3分。 （4）未提供的得0分。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供应商具备如下两种公司认证：Specialized Oracle Database(专业化Oracle数据库认证)、Specialized Oracle Weblogic Server(专业化Weblogic认证)，每个证书得2分，最多4分，未提供不得分。 供应商需提供知识库管理平台界面截图，并提供知识库中关于数据库或中间件的知识记录，每条知识库记录的内容信息均需完整提供，数据库或中间件的知识记录50 条及以上的得3 分，不足50条或只提供标题或内容信息明显不完整的得1分，未提供不得分。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关键点分析</w:t>
            </w:r>
          </w:p>
        </w:tc>
        <w:tc>
          <w:tcPr>
            <w:tcW w:type="dxa" w:w="2492"/>
          </w:tcPr>
          <w:p>
            <w:pPr>
              <w:pStyle w:val="null3"/>
            </w:pPr>
            <w:r>
              <w:rPr>
                <w:rFonts w:ascii="仿宋_GB2312" w:hAnsi="仿宋_GB2312" w:cs="仿宋_GB2312" w:eastAsia="仿宋_GB2312"/>
              </w:rPr>
              <w:t>对本项目实施的重点、难点问题分析，提出相应的解决方案： （1）方案逻辑层次清晰、针对性强、与采购内容的吻合程度高的，得10分； （2）方案逻辑层次较清晰、针对性较强、与采购内容的吻合程度一般，内容较简单的，得7分； （3）方案逻辑层次不清晰、不全面，得3分；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 配备</w:t>
            </w:r>
          </w:p>
        </w:tc>
        <w:tc>
          <w:tcPr>
            <w:tcW w:type="dxa" w:w="2492"/>
          </w:tcPr>
          <w:p>
            <w:pPr>
              <w:pStyle w:val="null3"/>
            </w:pPr>
            <w:r>
              <w:rPr>
                <w:rFonts w:ascii="仿宋_GB2312" w:hAnsi="仿宋_GB2312" w:cs="仿宋_GB2312" w:eastAsia="仿宋_GB2312"/>
              </w:rPr>
              <w:t>1、针对本项目技术支持团队的专业技术能力、技术认证进行评审，共8分 （1）数据库团队具备下列认证:OCM认证、达梦数据库管理系统DM8 DCP认证、Oracle10g集群管理认证（Oracle Database 10g Real Application Clusters Administrator Certified Expert）、Oracle 11g应用网格认证（Oracle Application Grid 11g Certified Implementation Specialist），具备以上四种证书，得4分；具备其中3种证书，得3分；具备其中2种证书，得2分；具备1种证书，得1分；未提供不得分。 （2）中间件团队中同时具备Weblogic和东方通中间件两种认证的技术人员不少于3人（含3人），得4分； 同时具备Weblogic和东方通中间件两种认证的技术人员不足3人，得2分； 没有同时具备Weblogic和东方通中间件两种认证的技术人员，但是提供了具备Weblogic或者东方通中间件一种认证的技术人员，得1分； 其他或未提供不得分。 2、项目管理人员，共4分 针对本项目的项目经理的管理经验，是否具备PMP证书和信息系统项目管理师认证，具备2个证书得4分，具备1个证书得2分；未提供证书得0分； 3、驻场运维人员经验，共6分 本项目数据库驻场运维人员具备OCM认证得3分，具备OCP认证得2分，没有认证得0分。 本项目中间件驻场运维人员是否具备Weblogic认证或东方通Tongweb认证。驻场运维人员具有其中一种认证，得3分，没有认证得0分。 提供相关证明材料，注：以上人员需提供投标截止日前近3个月内任意一个月在本单位社保缴纳凭证（须加盖单位公章），未提供本项不得分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应急 方案</w:t>
            </w:r>
          </w:p>
        </w:tc>
        <w:tc>
          <w:tcPr>
            <w:tcW w:type="dxa" w:w="2492"/>
          </w:tcPr>
          <w:p>
            <w:pPr>
              <w:pStyle w:val="null3"/>
            </w:pPr>
            <w:r>
              <w:rPr>
                <w:rFonts w:ascii="仿宋_GB2312" w:hAnsi="仿宋_GB2312" w:cs="仿宋_GB2312" w:eastAsia="仿宋_GB2312"/>
              </w:rPr>
              <w:t>供应商根据采购要求，针对项目出现的突发事件、高危时间有具体可行的应急上报、记录、处置和解决方案： （1）方案逻辑层次清晰、时效性强、针对性强，有完善的解决方案得5分； （2）方案逻辑层次较清晰、时效性满足应急要求、较强针对性，有具体的解决方案得3分； （3）方案逻辑层次一般、时效性基本保障应急要求、针对性一般，有解决方案得1分；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针对本项目的合理化建议及解决方案： （1）方案完整详细、描述清晰、内容科学合理、可实施性强的，得10分。 （2）方案较完整但简单、内容合理性及可实施性一般的，得7分。 （3）方案内容有缺失，影响到项目实施的，得3分。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供应商针对项目安全保密职责提供具体的保密措施，由磋商小组进行综合评审： （1）保密措施内容详细完整，且利于项目实施的得5分； （2）保密措施内容满足本项目需求，合理且不影响项目实施的得 3分； （3）保密措施内容有欠缺，影响到项目实施的得 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供应商针对本项目提出具体的质量保证措施，由评标委员会进行综合评审： （1）质量保证措施能够充分保证本项目质量标准的，得5分； （2）能够保证本项目质量要求的，得3分； （3）较难达到本项目质量控制目标的，得1分；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