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版本号：ZX2025-04-34(二次)20250507001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智慧教育方向项目可行性研究报告编制服务项目(二次)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ZX2025-04-34(二次)</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智慧教育方向项目可行性研究报告编制服务项目(二次)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ZX2025-04-34(二次)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智慧教育方向项目可行性研究报告编制服务项目(二次)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本项目需按相关规范进行项目的可研编制工作，编制的文件内容、深度需符合国家、陕西可行性研究报告编制和审批的要求。同时为后续平台建设审批、经费支持、项目申请等工作提供依据。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采购包1保证金金额：5,434.00元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说明：成交供应商在与采购人签订合同前，须缴纳履约保证金；履约保证金金额为成交金额的5%。 转账账号：西北大学611301015018001145006 转账银行：交通银行太白路支行 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本项目需按相关规范进行项目的可研编制工作，编制的文件内容、深度需符合国家、陕西可行性研究报告编制和审批的要求。同时为后续平台建设审批、经费支持、项目申请等工作提供依据。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可行性研究报告编制服务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标的名称：可行性研究报告编制服务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一、项目概况</w:t>
            </w:r>
          </w:p>
          <w:p>
            <w:pPr>
              <w:pStyle w:val="null3"/>
            </w:pPr>
            <w:r>
              <w:rPr>
                <w:rFonts w:ascii="仿宋_GB2312" w:hAnsi="仿宋_GB2312" w:cs="仿宋_GB2312" w:eastAsia="仿宋_GB2312"/>
              </w:rPr>
              <w:t xml:space="preserve">  本项目涉及网络和数据中心、图书馆、后勤集团、保卫处等服务学校学科建设重点职能部门，围绕重点领域重大投资项目、教育领域重大设备更新、重点支持智慧教育方向的重大设备需求，更新采购一批先进设备，提升学校基础平台的数字化硬件设施水平。</w:t>
            </w:r>
          </w:p>
          <w:p>
            <w:pPr>
              <w:pStyle w:val="null3"/>
            </w:pPr>
            <w:r>
              <w:rPr>
                <w:rFonts w:ascii="仿宋_GB2312" w:hAnsi="仿宋_GB2312" w:cs="仿宋_GB2312" w:eastAsia="仿宋_GB2312"/>
              </w:rPr>
              <w:t xml:space="preserve">  通过该项目的设立拟实现对西北大学智慧教育方向项目可行性论证，为后续平台建设审批、经费支持、项目申请等工作提供依据。</w:t>
            </w:r>
          </w:p>
          <w:p>
            <w:pPr>
              <w:pStyle w:val="null3"/>
            </w:pPr>
            <w:r>
              <w:rPr>
                <w:rFonts w:ascii="仿宋_GB2312" w:hAnsi="仿宋_GB2312" w:cs="仿宋_GB2312" w:eastAsia="仿宋_GB2312"/>
              </w:rPr>
              <w:t xml:space="preserve">  二、服务内容及要求</w:t>
            </w:r>
          </w:p>
          <w:p>
            <w:pPr>
              <w:pStyle w:val="null3"/>
            </w:pPr>
            <w:r>
              <w:rPr>
                <w:rFonts w:ascii="仿宋_GB2312" w:hAnsi="仿宋_GB2312" w:cs="仿宋_GB2312" w:eastAsia="仿宋_GB2312"/>
              </w:rPr>
              <w:t xml:space="preserve">  完成西北大学智慧教育方向项目可行性研究报告编制，具体完成以下工作内容:</w:t>
            </w:r>
          </w:p>
          <w:p>
            <w:pPr>
              <w:pStyle w:val="null3"/>
            </w:pPr>
            <w:r>
              <w:rPr>
                <w:rFonts w:ascii="仿宋_GB2312" w:hAnsi="仿宋_GB2312" w:cs="仿宋_GB2312" w:eastAsia="仿宋_GB2312"/>
              </w:rPr>
              <w:t xml:space="preserve">  1.按照国家和陕西省有关政策法规、规范、标准，编制该项目可行性研究报告。报告包含但不限于如下内容:（1）概述(项目概况、项目单位概况、编制依据、主要结论和建议);（2）项目建设背景和必要性（项目建设背景、规划政策符合性、项目建设必要性）；（3）项目需求分析与产出方案（需求分析、建设内容和规模、项目产出方案）；（4）项目选址与要素保障；（5）项目建设方案(技术方案、工程方案、设备方案、数字化方案、建设管理方案等);（6）项目运营方案(运营模式选择、运营组织方案、安全保障方案，绩效管理方案);（7）项目投融资与财务方案(投资估算、盈利能力分析、融资方案、财务可持续性分析);（8）项目影响效果分析(经济影响分析、社会影响分析、生态环境影响分析、资源和能源利用效果分析、碳达峰碳中和分析);（9）项目风险管控方案（风险识别与评价、风险管控方案、风险应急预案）；（10）研究结论及建议（主要研究结论、问题与建议）；（11）附表、附图和附件。</w:t>
            </w:r>
          </w:p>
          <w:p>
            <w:pPr>
              <w:pStyle w:val="null3"/>
            </w:pPr>
            <w:r>
              <w:rPr>
                <w:rFonts w:ascii="仿宋_GB2312" w:hAnsi="仿宋_GB2312" w:cs="仿宋_GB2312" w:eastAsia="仿宋_GB2312"/>
              </w:rPr>
              <w:t xml:space="preserve">  2.配合相关验收工作，达到有关主管部门审批要求，负责配合采购人完成项目申报、审批、答辩等全过程服务工作并获得批准通过。</w:t>
            </w:r>
          </w:p>
          <w:p>
            <w:pPr>
              <w:pStyle w:val="null3"/>
            </w:pPr>
            <w:r>
              <w:rPr>
                <w:rFonts w:ascii="仿宋_GB2312" w:hAnsi="仿宋_GB2312" w:cs="仿宋_GB2312" w:eastAsia="仿宋_GB2312"/>
              </w:rPr>
              <w:t xml:space="preserve">  3.项目服务人员应不少于5人，且至少1人具有高级职称，至少2人具有中级及以上职称，保障项目顺利实施。</w:t>
            </w:r>
          </w:p>
          <w:p>
            <w:pPr>
              <w:pStyle w:val="null3"/>
            </w:pPr>
            <w:r>
              <w:rPr>
                <w:rFonts w:ascii="仿宋_GB2312" w:hAnsi="仿宋_GB2312" w:cs="仿宋_GB2312" w:eastAsia="仿宋_GB2312"/>
              </w:rPr>
              <w:t xml:space="preserve">  技术参考依据（包括但不限于）：</w:t>
            </w:r>
          </w:p>
          <w:p>
            <w:pPr>
              <w:pStyle w:val="null3"/>
            </w:pPr>
            <w:r>
              <w:rPr>
                <w:rFonts w:ascii="仿宋_GB2312" w:hAnsi="仿宋_GB2312" w:cs="仿宋_GB2312" w:eastAsia="仿宋_GB2312"/>
              </w:rPr>
              <w:t xml:space="preserve">  （1）上级管理部门关于高等教育“两重”建设实施方案有关文件；</w:t>
            </w:r>
          </w:p>
          <w:p>
            <w:pPr>
              <w:pStyle w:val="null3"/>
            </w:pPr>
            <w:r>
              <w:rPr>
                <w:rFonts w:ascii="仿宋_GB2312" w:hAnsi="仿宋_GB2312" w:cs="仿宋_GB2312" w:eastAsia="仿宋_GB2312"/>
              </w:rPr>
              <w:t xml:space="preserve">  （2）国务院关于印发《推动大规模设备更新和消费品以旧换新行动方案》的通知（国发〔2024〕7号）；</w:t>
            </w:r>
          </w:p>
          <w:p>
            <w:pPr>
              <w:pStyle w:val="null3"/>
            </w:pPr>
            <w:r>
              <w:rPr>
                <w:rFonts w:ascii="仿宋_GB2312" w:hAnsi="仿宋_GB2312" w:cs="仿宋_GB2312" w:eastAsia="仿宋_GB2312"/>
              </w:rPr>
              <w:t xml:space="preserve">  （3）国家发展改革委、财政部《关于加力支持大规模设备更新和消费品以旧换新的若干措施》（发改环资〔2024〕1104号）；</w:t>
            </w:r>
          </w:p>
          <w:p>
            <w:pPr>
              <w:pStyle w:val="null3"/>
            </w:pPr>
            <w:r>
              <w:rPr>
                <w:rFonts w:ascii="仿宋_GB2312" w:hAnsi="仿宋_GB2312" w:cs="仿宋_GB2312" w:eastAsia="仿宋_GB2312"/>
              </w:rPr>
              <w:t xml:space="preserve">  （4）《国家发展改革委教育部关于印发〈教育领域重大设备更新实施方案〉的通知》（发改社会〔2024〕718号）；</w:t>
            </w:r>
          </w:p>
          <w:p>
            <w:pPr>
              <w:pStyle w:val="null3"/>
            </w:pPr>
            <w:r>
              <w:rPr>
                <w:rFonts w:ascii="仿宋_GB2312" w:hAnsi="仿宋_GB2312" w:cs="仿宋_GB2312" w:eastAsia="仿宋_GB2312"/>
              </w:rPr>
              <w:t xml:space="preserve">  （5）《陕西省加力支持大规模设备更新和消费品以旧换新实施方案》（陕发改环资〔2024〕1671号）；</w:t>
            </w:r>
          </w:p>
          <w:p>
            <w:pPr>
              <w:pStyle w:val="null3"/>
            </w:pPr>
            <w:r>
              <w:rPr>
                <w:rFonts w:ascii="仿宋_GB2312" w:hAnsi="仿宋_GB2312" w:cs="仿宋_GB2312" w:eastAsia="仿宋_GB2312"/>
              </w:rPr>
              <w:t xml:space="preserve">  （6）《陕西省人民政府关于印发推动大规模设备更新和消费品以旧换新若干措施的通知》（陕政发〔2024〕3号）；</w:t>
            </w:r>
          </w:p>
          <w:p>
            <w:pPr>
              <w:pStyle w:val="null3"/>
            </w:pPr>
            <w:r>
              <w:rPr>
                <w:rFonts w:ascii="仿宋_GB2312" w:hAnsi="仿宋_GB2312" w:cs="仿宋_GB2312" w:eastAsia="仿宋_GB2312"/>
              </w:rPr>
              <w:t xml:space="preserve">  （7）《陕西省国民经济和社会发展第十四个五年规划和二〇三五年远景目标纲要》；</w:t>
            </w:r>
          </w:p>
          <w:p>
            <w:pPr>
              <w:pStyle w:val="null3"/>
            </w:pPr>
            <w:r>
              <w:rPr>
                <w:rFonts w:ascii="仿宋_GB2312" w:hAnsi="仿宋_GB2312" w:cs="仿宋_GB2312" w:eastAsia="仿宋_GB2312"/>
              </w:rPr>
              <w:t xml:space="preserve">  （8）《陕西省教育事业发展“十四五”规划 》；</w:t>
            </w:r>
          </w:p>
          <w:p>
            <w:pPr>
              <w:pStyle w:val="null3"/>
            </w:pPr>
            <w:r>
              <w:rPr>
                <w:rFonts w:ascii="仿宋_GB2312" w:hAnsi="仿宋_GB2312" w:cs="仿宋_GB2312" w:eastAsia="仿宋_GB2312"/>
              </w:rPr>
              <w:t xml:space="preserve">  （9）《西北大学“十四五”教育事业发展规划》；</w:t>
            </w:r>
          </w:p>
          <w:p>
            <w:pPr>
              <w:pStyle w:val="null3"/>
            </w:pPr>
            <w:r>
              <w:rPr>
                <w:rFonts w:ascii="仿宋_GB2312" w:hAnsi="仿宋_GB2312" w:cs="仿宋_GB2312" w:eastAsia="仿宋_GB2312"/>
              </w:rPr>
              <w:t xml:space="preserve">  （10）《中国共产党西北大学第十四次代表大会工作报告》；</w:t>
            </w:r>
          </w:p>
          <w:p>
            <w:pPr>
              <w:pStyle w:val="null3"/>
            </w:pPr>
            <w:r>
              <w:rPr>
                <w:rFonts w:ascii="仿宋_GB2312" w:hAnsi="仿宋_GB2312" w:cs="仿宋_GB2312" w:eastAsia="仿宋_GB2312"/>
              </w:rPr>
              <w:t xml:space="preserve">  （11）《国家发展改革委关于印发投资项目可行性研究报告编写大纲及说明的通知》（发改投资规〔2023〕304号）；</w:t>
            </w:r>
          </w:p>
          <w:p>
            <w:pPr>
              <w:pStyle w:val="null3"/>
            </w:pPr>
            <w:r>
              <w:rPr>
                <w:rFonts w:ascii="仿宋_GB2312" w:hAnsi="仿宋_GB2312" w:cs="仿宋_GB2312" w:eastAsia="仿宋_GB2312"/>
              </w:rPr>
              <w:t xml:space="preserve">  （12）《政府投资项目可行性研究报告编写参考大纲（2023年版）》；</w:t>
            </w:r>
          </w:p>
          <w:p>
            <w:pPr>
              <w:pStyle w:val="null3"/>
            </w:pPr>
            <w:r>
              <w:rPr>
                <w:rFonts w:ascii="仿宋_GB2312" w:hAnsi="仿宋_GB2312" w:cs="仿宋_GB2312" w:eastAsia="仿宋_GB2312"/>
              </w:rPr>
              <w:t xml:space="preserve">  （13）《投资项目可行性研究指南》，中国电力出版社，2002年；</w:t>
            </w:r>
          </w:p>
          <w:p>
            <w:pPr>
              <w:pStyle w:val="null3"/>
            </w:pPr>
            <w:r>
              <w:rPr>
                <w:rFonts w:ascii="仿宋_GB2312" w:hAnsi="仿宋_GB2312" w:cs="仿宋_GB2312" w:eastAsia="仿宋_GB2312"/>
              </w:rPr>
              <w:t xml:space="preserve">  （14）建设项目经济评价方法与参数（第三版）；</w:t>
            </w:r>
          </w:p>
          <w:p>
            <w:pPr>
              <w:pStyle w:val="null3"/>
            </w:pPr>
            <w:r>
              <w:rPr>
                <w:rFonts w:ascii="仿宋_GB2312" w:hAnsi="仿宋_GB2312" w:cs="仿宋_GB2312" w:eastAsia="仿宋_GB2312"/>
              </w:rPr>
              <w:t xml:space="preserve">  （15）国家颁布的有关政策、法规、法令、规范、定额、税费等文件；</w:t>
            </w:r>
          </w:p>
          <w:p>
            <w:pPr>
              <w:pStyle w:val="null3"/>
            </w:pPr>
            <w:r>
              <w:rPr>
                <w:rFonts w:ascii="仿宋_GB2312" w:hAnsi="仿宋_GB2312" w:cs="仿宋_GB2312" w:eastAsia="仿宋_GB2312"/>
              </w:rPr>
              <w:t xml:space="preserve">  （16）建设单位提供的其他相关资料。</w:t>
            </w:r>
          </w:p>
          <w:p>
            <w:pPr>
              <w:pStyle w:val="null3"/>
            </w:pPr>
            <w:r>
              <w:rPr>
                <w:rFonts w:ascii="仿宋_GB2312" w:hAnsi="仿宋_GB2312" w:cs="仿宋_GB2312" w:eastAsia="仿宋_GB2312"/>
              </w:rPr>
              <w:t xml:space="preserve">  三、服务成果要求</w:t>
            </w:r>
          </w:p>
          <w:p>
            <w:pPr>
              <w:pStyle w:val="null3"/>
            </w:pPr>
            <w:r>
              <w:rPr>
                <w:rFonts w:ascii="仿宋_GB2312" w:hAnsi="仿宋_GB2312" w:cs="仿宋_GB2312" w:eastAsia="仿宋_GB2312"/>
              </w:rPr>
              <w:t xml:space="preserve">  （1）提交项目可行性研究报告纸质版（10 份）。</w:t>
            </w:r>
          </w:p>
          <w:p>
            <w:pPr>
              <w:pStyle w:val="null3"/>
            </w:pPr>
            <w:r>
              <w:rPr>
                <w:rFonts w:ascii="仿宋_GB2312" w:hAnsi="仿宋_GB2312" w:cs="仿宋_GB2312" w:eastAsia="仿宋_GB2312"/>
              </w:rPr>
              <w:t xml:space="preserve">  （2）提交项目可行性研究报告电子版（1份）及过程中产出的相关材料，包括但不限于附表、附图和附件等。相关资料知识产权归采购人所有。</w:t>
            </w:r>
          </w:p>
          <w:p>
            <w:pPr>
              <w:pStyle w:val="null3"/>
            </w:pPr>
            <w:r>
              <w:rPr>
                <w:rFonts w:ascii="仿宋_GB2312" w:hAnsi="仿宋_GB2312" w:cs="仿宋_GB2312" w:eastAsia="仿宋_GB2312"/>
              </w:rPr>
              <w:t xml:space="preserve">  （3）满足国家及陕西省现行的有关政策、法律、法规、规程、规范和标准等。</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项目服务人员应不少于5人，且至少1人具有高级职称，至少2人具有中级及以上职称，保障项目顺利实施。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（1）质量标准。供应商保证提供的服务质量应符合中华人民共和国相关标准及相应的技术规范、本次采购相关文件中的全部相关要求及供应商相关服务标准及相应的技术规范中之较高者。 （2）验收组织。采购人负责按规定组织验收工作并出具验收书，涉及向学校师生提供的公共服务项目，验收时须邀请供应商参与并出具意见。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供应商按照采购人要求提供服务，如项目可行性研究报告未获批且相关财政资金未拨付经采购人验收后，采购人一次性支付伍万元服务费用；如供应商完成项目可行性研究报告获批且相关财政资金拨付到账并经采购人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响应文件正本壹份、副本壹份（密封）。若电子响应文件与纸质响应文件不一致的，以电子响应文件为准。线下递交文件截止时间：详见本项目采购公告文件提交截止时间；线下递交文件地点：西安市莲湖区环城西路南段元晟合中心6层 。 2、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3、报价表中标明本次服务的所有单项价格和总价，任何有选择的报价将不予接受，否则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3资格证明文件.docx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4承诺书.docx 5服务响应偏离表.docx 标的清单 1分项价格表.docx 报价表 2商务部分偏离表.docx 响应函 3资格证明文件.docx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报价未超过磋商文件中规定的预算金额和最高限价的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满足本磋商文件中要求的实质性商务条款（服务期限、服务地点、支付约定）要求的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项目政策背景理解</w:t>
            </w:r>
          </w:p>
        </w:tc>
        <w:tc>
          <w:tcPr>
            <w:tcW w:type="dxa" w:w="2492"/>
          </w:tcPr>
          <w:p>
            <w:pPr>
              <w:pStyle w:val="null3"/>
            </w:pPr>
            <w:r>
              <w:rPr>
                <w:rFonts w:ascii="仿宋_GB2312" w:hAnsi="仿宋_GB2312" w:cs="仿宋_GB2312" w:eastAsia="仿宋_GB2312"/>
              </w:rPr>
              <w:t>一、评审内容 供应商提供针对本项目实施的相关政策及背景的理解。 二、评审标准 1、完整性：完全掌握本项目实施的相关政策及背景，理解全面； 2、科学性：内容紧扣项目实际情况，逻辑完整、科学合理。 三、赋分依据（满分6分） 项目建设背景分析：每完全满足一个评审标准得3分，满分6分；未提供不得分。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6项目政策背景理解.docx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供应商针对本项目制定整体服务方案。包括①服务目标、内容②服务标准③服务方法及策略④人员组织安排⑤配合验收方案。 二、评审标准 1、完整性：内容须全面，对评审内容中的各项要求描述详细； 2、可实施性：切合本项目实际情况，实施步骤清晰、合理； 3、针对性：能够紧扣项目实际情况，内容科学合理。 三、赋分依据（满分15分） ①服务目标、内容：每完全满足一个评审标准得1分，满分3分；未提供不得分； ②服务标准：每完全满足一个评审标准得1分，满分3分；未提供不得分； ③服务方法及策略：每完全满足一个评审标准得1分，满分3分；未提供不得分； ④人员组织安排：每完全满足一个评审标准得1分，满分3分；未提供不得分； ⑤配合验收方案：每完全满足一个评审标准得1分，满分3分；未提供不得分。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7整体服务方案.docx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供应商针对本项目制作各阶段工作流程。包括①前期准备②报告编制③报告审核、修改与最终上报。 二、评审标准 1、完整性：内容须全面，对评审内容中的各项要求描述详细； 2、可实施性：切合本项目实际情况，实施步骤清晰、合理； 3、针对性：能够紧扣项目实际情况，内容科学合理。 三、赋分依据（满分9分） ①前期准备：每完全满足一个评审标准得1分，满分3分；未提供不得分； ②报告编制：每完全满足一个评审标准得1分，满分3分；未提供不得分； ③报告审核、修改与最终上报：每完全满足一个评审标准得1分，满分3分；未提供不得分。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8工作流程.docx</w:t>
            </w:r>
          </w:p>
        </w:tc>
      </w:tr>
      <w:tr>
        <w:tc>
          <w:tcPr>
            <w:tcW w:type="dxa" w:w="831"/>
            <w:vMerge/>
          </w:tcPr>
          <w:p/>
        </w:tc>
        <w:tc>
          <w:tcPr>
            <w:tcW w:type="dxa" w:w="1661"/>
          </w:tcPr>
          <w:p>
            <w:pPr>
              <w:pStyle w:val="null3"/>
            </w:pPr>
            <w:r>
              <w:rPr>
                <w:rFonts w:ascii="仿宋_GB2312" w:hAnsi="仿宋_GB2312" w:cs="仿宋_GB2312" w:eastAsia="仿宋_GB2312"/>
              </w:rPr>
              <w:t>进度的保障措施</w:t>
            </w:r>
          </w:p>
        </w:tc>
        <w:tc>
          <w:tcPr>
            <w:tcW w:type="dxa" w:w="2492"/>
          </w:tcPr>
          <w:p>
            <w:pPr>
              <w:pStyle w:val="null3"/>
            </w:pPr>
            <w:r>
              <w:rPr>
                <w:rFonts w:ascii="仿宋_GB2312" w:hAnsi="仿宋_GB2312" w:cs="仿宋_GB2312" w:eastAsia="仿宋_GB2312"/>
              </w:rPr>
              <w:t>一、评审内容 供应商针对本项目制定进度保障方案。包括①编制进度安排及保障措施②突发情况的应急措施。 二、评审标准 1、完整性：内容须全面，对评审内容中的各项要求描述详细； 2、可实施性：切合本项目实际情况，实施步骤清晰、合理； 3、针对性：能够紧扣项目实际情况，内容科学合理。 三、赋分依据（满分6分） ①编制进度安排及保障措施：每完全满足一个评审标准得1分，满分3分；未提供不得分； ②突发情况的应急措施：每完全满足一个评审标准得1分，满分3分；未提供不得分。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9进度的保障措施.docx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供应商针对本项目制定质量保障方案。包括①质量规划、目标②保障措施③未达到质量标准的改进措施。 二、评审标准 1、完整性：内容须全面，对评审内容中的各项要求描述详细； 2、可实施性：切合本项目实际情况，实施步骤清晰、合理； 3、针对性：能够紧扣项目实际情况，内容科学合理。 三、赋分依据（满分9分） ①质量规划、目标：每完全满足一个评审标准得1分，满分3分；未提供不得分； ②保障措施：每完全满足一个评审标准得1分，满分3分；未提供不得分； ③未达到质量标准的改进措施：每完全满足一个评审标准得1分，满分3分；未提供不得分。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10质量保障方案.docx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供应商针对本项目报告编制进行重难点分析。包括①重难点分析 ②对应解决方案。 二、评审标准 1、完整性：内容须全面，对评审内容中的各项要求描述详细； 2、可实施性：切合本项目实际情况，实施步骤清晰、合理； 3、针对性：能够紧扣项目实际情况，内容科学合理。 三、赋分依据（满分6分） ①重难点分析：每完全满足一个评审标准得1分，满分3分；未提供不得分； ②对应解决方案：每完全满足一个评审标准得1分，满分3分；未提供不得分。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11重难点分析.docx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供应商针对本项目获悉的采购人相关信息制定完整可行的保密措施，具备完善的内部保密制度。包括①制度建设②保密措施。 二、评审标准 1、完整性：内容须全面，对评审内容中的各项要求描述详细； 2、可实施性：切合本项目实际情况，实施步骤清晰、合理； 3、针对性：能够紧扣项目实际情况，内容科学合理。 三、赋分依据（满分6分） ①制度建设：每完全满足一个评审标准得1分，满分3分；未提供不得分； ②保密措施：每完全满足一个评审标准得1分，满分3分；未提供不得分。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12保密措施.docx</w:t>
            </w:r>
          </w:p>
        </w:tc>
      </w:tr>
      <w:tr>
        <w:tc>
          <w:tcPr>
            <w:tcW w:type="dxa" w:w="831"/>
            <w:vMerge/>
          </w:tcPr>
          <w:p/>
        </w:tc>
        <w:tc>
          <w:tcPr>
            <w:tcW w:type="dxa" w:w="1661"/>
          </w:tcPr>
          <w:p>
            <w:pPr>
              <w:pStyle w:val="null3"/>
            </w:pPr>
            <w:r>
              <w:rPr>
                <w:rFonts w:ascii="仿宋_GB2312" w:hAnsi="仿宋_GB2312" w:cs="仿宋_GB2312" w:eastAsia="仿宋_GB2312"/>
              </w:rPr>
              <w:t>成果交付资料</w:t>
            </w:r>
          </w:p>
        </w:tc>
        <w:tc>
          <w:tcPr>
            <w:tcW w:type="dxa" w:w="2492"/>
          </w:tcPr>
          <w:p>
            <w:pPr>
              <w:pStyle w:val="null3"/>
            </w:pPr>
            <w:r>
              <w:rPr>
                <w:rFonts w:ascii="仿宋_GB2312" w:hAnsi="仿宋_GB2312" w:cs="仿宋_GB2312" w:eastAsia="仿宋_GB2312"/>
              </w:rPr>
              <w:t>一、评审内容 供应商提供针对本项目的成果交付资料应真实、有效，符合采购人要求。若未达到采购人标准，提供具体的改进措施。 二、评审标准 1、完整性：内容须全面，对评审内容中的各项要求描述详细； 2、可实施性：切合本项目实际情况，实施步骤清晰、合理； 3、针对性：能够紧扣项目实际情况，内容科学合理。 三、赋分依据（满分6分） 成果交付资料：每完全满足一个评审标准得2分，满分6分；未提供不得分。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13成果交付资料.docx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1、项目团队成员不少于5人得2分；在5人的基础上每增加 1 人加 1 分，最高加 3 分。本项满分5分。 2、项目团队成员在满足1人具有高级职称、2人具有中级及以上职称的基础上，每增加 1 人具有相关专业中级及以上职称的得0.5分，本项最高得2分(同一成员不重复计分)。 供应商需提供相关人员身份证、相关证书，加盖供应商公章。 3、项目团队人员应经验丰富，提供人员工作履历等证明材料，团队经验满足项目需求，资料完整计2分；未提供或资料不齐全或不满足项目需求均不得分。 4、供应商承诺，如若成交，服务团队人员不得随意更换。若因不可抗力因素，确需更换，要求至少提前7个工作日以书面形式通知采购人，并将拟更换的人员个人资料一并上报，经采购人审核同意后，方可更换。提供此承诺计2分，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供应商从2022年1月1日以来（以合同签订日期为准）同类项目业绩，每提供一个1个计2分，最高得10分。 注：响应文件需要同时提供合同首页、服务内容页、盖章页复印件并加盖供应商公章，时间以合同签订时间为准，否则不得分。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供应商承诺①配合相关验收工作，达到有关主管部门审批要求，负责配合采购人将成果上报有关主管部门并获得批准通过。②服务成果的相关资料知识产权归采购人所有。 每提供上述一个承诺计2分，共4分。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供应商针对本项目实施提供合理化建议，每提供一个科学、有实际实用价值的建议计1分，本项最高得2分。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磋商报价得分=（评标基准价/磋商报价）×价格分值。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详见附件：6项目政策背景理解.docx</w:t>
      </w:r>
    </w:p>
    <w:p>
      <w:pPr>
        <w:pStyle w:val="null3"/>
        <w:ind w:firstLine="960"/>
      </w:pPr>
      <w:r>
        <w:rPr>
          <w:rFonts w:ascii="仿宋_GB2312" w:hAnsi="仿宋_GB2312" w:cs="仿宋_GB2312" w:eastAsia="仿宋_GB2312"/>
        </w:rPr>
        <w:t>详见附件：7整体服务方案.docx</w:t>
      </w:r>
    </w:p>
    <w:p>
      <w:pPr>
        <w:pStyle w:val="null3"/>
        <w:ind w:firstLine="960"/>
      </w:pPr>
      <w:r>
        <w:rPr>
          <w:rFonts w:ascii="仿宋_GB2312" w:hAnsi="仿宋_GB2312" w:cs="仿宋_GB2312" w:eastAsia="仿宋_GB2312"/>
        </w:rPr>
        <w:t>详见附件：8工作流程.docx</w:t>
      </w:r>
    </w:p>
    <w:p>
      <w:pPr>
        <w:pStyle w:val="null3"/>
        <w:ind w:firstLine="960"/>
      </w:pPr>
      <w:r>
        <w:rPr>
          <w:rFonts w:ascii="仿宋_GB2312" w:hAnsi="仿宋_GB2312" w:cs="仿宋_GB2312" w:eastAsia="仿宋_GB2312"/>
        </w:rPr>
        <w:t>详见附件：9进度的保障措施.docx</w:t>
      </w:r>
    </w:p>
    <w:p>
      <w:pPr>
        <w:pStyle w:val="null3"/>
        <w:ind w:firstLine="960"/>
      </w:pPr>
      <w:r>
        <w:rPr>
          <w:rFonts w:ascii="仿宋_GB2312" w:hAnsi="仿宋_GB2312" w:cs="仿宋_GB2312" w:eastAsia="仿宋_GB2312"/>
        </w:rPr>
        <w:t>详见附件：10质量保障方案.docx</w:t>
      </w:r>
    </w:p>
    <w:p>
      <w:pPr>
        <w:pStyle w:val="null3"/>
        <w:ind w:firstLine="960"/>
      </w:pPr>
      <w:r>
        <w:rPr>
          <w:rFonts w:ascii="仿宋_GB2312" w:hAnsi="仿宋_GB2312" w:cs="仿宋_GB2312" w:eastAsia="仿宋_GB2312"/>
        </w:rPr>
        <w:t>详见附件：11重难点分析.docx</w:t>
      </w:r>
    </w:p>
    <w:p>
      <w:pPr>
        <w:pStyle w:val="null3"/>
        <w:ind w:firstLine="960"/>
      </w:pPr>
      <w:r>
        <w:rPr>
          <w:rFonts w:ascii="仿宋_GB2312" w:hAnsi="仿宋_GB2312" w:cs="仿宋_GB2312" w:eastAsia="仿宋_GB2312"/>
        </w:rPr>
        <w:t>详见附件：12保密措施.docx</w:t>
      </w:r>
    </w:p>
    <w:p>
      <w:pPr>
        <w:pStyle w:val="null3"/>
        <w:ind w:firstLine="960"/>
      </w:pPr>
      <w:r>
        <w:rPr>
          <w:rFonts w:ascii="仿宋_GB2312" w:hAnsi="仿宋_GB2312" w:cs="仿宋_GB2312" w:eastAsia="仿宋_GB2312"/>
        </w:rPr>
        <w:t>详见附件：13成果交付资料.docx</w:t>
      </w:r>
    </w:p>
    <w:p>
      <w:pPr>
        <w:pStyle w:val="null3"/>
        <w:ind w:firstLine="960"/>
      </w:pPr>
      <w:r>
        <w:rPr>
          <w:rFonts w:ascii="仿宋_GB2312" w:hAnsi="仿宋_GB2312" w:cs="仿宋_GB2312" w:eastAsia="仿宋_GB2312"/>
        </w:rPr>
        <w:t>详见附件：14人员配备.docx</w:t>
      </w:r>
    </w:p>
    <w:p>
      <w:pPr>
        <w:pStyle w:val="null3"/>
        <w:ind w:firstLine="960"/>
      </w:pPr>
      <w:r>
        <w:rPr>
          <w:rFonts w:ascii="仿宋_GB2312" w:hAnsi="仿宋_GB2312" w:cs="仿宋_GB2312" w:eastAsia="仿宋_GB2312"/>
        </w:rPr>
        <w:t>详见附件：15业绩.docx</w:t>
      </w:r>
    </w:p>
    <w:p>
      <w:pPr>
        <w:pStyle w:val="null3"/>
        <w:ind w:firstLine="960"/>
      </w:pPr>
      <w:r>
        <w:rPr>
          <w:rFonts w:ascii="仿宋_GB2312" w:hAnsi="仿宋_GB2312" w:cs="仿宋_GB2312" w:eastAsia="仿宋_GB2312"/>
        </w:rPr>
        <w:t>详见附件：16服务承诺.docx</w:t>
      </w:r>
    </w:p>
    <w:p>
      <w:pPr>
        <w:pStyle w:val="null3"/>
        <w:ind w:firstLine="960"/>
      </w:pPr>
      <w:r>
        <w:rPr>
          <w:rFonts w:ascii="仿宋_GB2312" w:hAnsi="仿宋_GB2312" w:cs="仿宋_GB2312" w:eastAsia="仿宋_GB2312"/>
        </w:rPr>
        <w:t>详见附件：17合理化建议.docx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