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版本号：HCXM-GK-2505-0120250507001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2024年呼吸机检测仪校准装置技术能力提升装备项目（十一）</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HCXM-GK-2505-01</w:t>
      </w:r>
      <w:r>
        <w:br/>
      </w:r>
      <w:r>
        <w:br/>
      </w:r>
      <w:r>
        <w:br/>
      </w:r>
    </w:p>
    <w:p>
      <w:pPr>
        <w:pStyle w:val="null3"/>
        <w:jc w:val="center"/>
        <w:outlineLvl w:val="2"/>
      </w:pPr>
      <w:r>
        <w:rPr>
          <w:rFonts w:ascii="仿宋_GB2312" w:hAnsi="仿宋_GB2312" w:cs="仿宋_GB2312" w:eastAsia="仿宋_GB2312"/>
          <w:sz w:val="28"/>
          <w:b/>
        </w:rPr>
        <w:t>陕西省计量科学研究院</w:t>
      </w:r>
    </w:p>
    <w:p>
      <w:pPr>
        <w:pStyle w:val="null3"/>
        <w:jc w:val="center"/>
        <w:outlineLvl w:val="2"/>
      </w:pPr>
      <w:r>
        <w:rPr>
          <w:rFonts w:ascii="仿宋_GB2312" w:hAnsi="仿宋_GB2312" w:cs="仿宋_GB2312" w:eastAsia="仿宋_GB2312"/>
          <w:sz w:val="28"/>
          <w:b/>
        </w:rPr>
        <w:t>汇成项目管理有限公司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2025年05月07日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汇成项目管理有限公司</w:t>
      </w:r>
      <w:r>
        <w:rPr>
          <w:rFonts w:ascii="仿宋_GB2312" w:hAnsi="仿宋_GB2312" w:cs="仿宋_GB2312" w:eastAsia="仿宋_GB2312"/>
        </w:rPr>
        <w:t>（以下简称“代理机构”）受</w:t>
      </w:r>
      <w:r>
        <w:rPr>
          <w:rFonts w:ascii="仿宋_GB2312" w:hAnsi="仿宋_GB2312" w:cs="仿宋_GB2312" w:eastAsia="仿宋_GB2312"/>
        </w:rPr>
        <w:t>陕西省计量科学研究院</w:t>
      </w:r>
      <w:r>
        <w:rPr>
          <w:rFonts w:ascii="仿宋_GB2312" w:hAnsi="仿宋_GB2312" w:cs="仿宋_GB2312" w:eastAsia="仿宋_GB2312"/>
        </w:rPr>
        <w:t>委托，拟对</w:t>
      </w:r>
      <w:r>
        <w:rPr>
          <w:rFonts w:ascii="仿宋_GB2312" w:hAnsi="仿宋_GB2312" w:cs="仿宋_GB2312" w:eastAsia="仿宋_GB2312"/>
        </w:rPr>
        <w:t>2024年呼吸机检测仪校准装置技术能力提升装备项目（十一）</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HCXM-GK-2505-01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2024年呼吸机检测仪校准装置技术能力提升装备项目（十一）</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采购2024年呼吸机检测仪校准装置技术能力提升装备项目（十一）</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采购包1（2024年呼吸机检测仪校准装置技术能力提升装备项目（十一））：属于专门面向中小企业采购。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1、本项目的特定资格要求：（1）、具有独立承担民事责任能力的法人、其他组织或自然人，并出具合法有效的营业执照或事业单位法人证书等国家规定的相关证明，自然人参与的提供其身份证明; （2）、财务状况报告（二选一）：①供应商提供2023年度或2024年度任一年度经会计事务所或审计机构审计的完整的财务审计报告（成立时间至提供响应文件截止时间不足一年的可提供成立后任意时段的资产负债表）；②在磋商截止时间前三个月内其开户银行出具的资信证明（附开户许可证或基本账户存款信息）；（3）、税收缴纳证明：提供2024年1月1日至今任意时间段的纳税证明或完税证明，依法免税的单位应提供相关证明材料; （4）、社会保障资金缴纳证明：提供2024年1月1日至今任意时间段的社会保障资金缴存单据或社保机构开具的社会保险参保缴费情况证明，依法不需要缴纳社会保障资金的单位应提供相关证明材料; （5）、供应商应在开标截止日前未被列入失信被执行人、重大税收违法案件当事人名单、政府采购严重违法失信行为记录名单（处罚期限届满的除外）（以“信用中国”网站（www.creditchina.gov.cn）或中国政府采购网（www.ccgp.gov.cn）查询结果为准，提供网站截图（查询日期为从招标文件发售之日起至开标截止日前）并加盖供应商公章；（6）、法定代表人授权书及被授权人身份证。（法定代表人直接投标只须提交其身份证原件）；（7）、供应商应出具参加政府采购活动前3年内在经营活动中没有重大违法记录的书面声明; （8）提供具有履行本合同所必需的设备和专业技术能力的书面声明； 注：本项目不接受联合体投标。</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陕西省计量科学研究院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西安市航天基地神舟六路南段580号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陕西省计量科学研究院</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029-85838133</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汇成项目管理有限公司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陕西省西安市雁塔区团结南路12号西安国际人才大厦A座北1508</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刘婧莎</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029-68781555</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采购包1：1,680,000.00元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采购包1保证金金额：30,000.00元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开户名称：汇成项目管理有限公司（备注：缴纳时需备注项目名称、采购包号；开具保函的单位，在投标截止前一天需给代理机构交一份纸质版保函。）</w:t>
            </w:r>
          </w:p>
          <w:p>
            <w:pPr>
              <w:pStyle w:val="null3"/>
            </w:pPr>
            <w:r>
              <w:rPr>
                <w:rFonts w:ascii="仿宋_GB2312" w:hAnsi="仿宋_GB2312" w:cs="仿宋_GB2312" w:eastAsia="仿宋_GB2312"/>
              </w:rPr>
              <w:t>开户银行：中国建设银行股份有限公司西安高新科技支行</w:t>
            </w:r>
          </w:p>
          <w:p>
            <w:pPr>
              <w:pStyle w:val="null3"/>
            </w:pPr>
            <w:r>
              <w:rPr>
                <w:rFonts w:ascii="仿宋_GB2312" w:hAnsi="仿宋_GB2312" w:cs="仿宋_GB2312" w:eastAsia="仿宋_GB2312"/>
              </w:rPr>
              <w:t>银行账号：61050192570000000294</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中标人在领取中标通知书时，向汇成项目管理有限公司交纳招标代理服务费。服务费收费标准参照原《国家计委关于印发&lt;招标代理服务收费管理暂行办法&gt;的通知》(计价格〔2002〕1980号)、《国家发展改革委关于降低部分建设项目收费标准规范收费行为等有关问题的通知》(发改价格〔2015〕299号)规定执行。 服务费账户信息： 户名：汇成项目管理有限公司 账号：6105 0192 5700 0000 0294 开户行：中国建设银行西安高新科技支行</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陕西省计量科学研究院</w:t>
      </w:r>
      <w:r>
        <w:rPr>
          <w:rFonts w:ascii="仿宋_GB2312" w:hAnsi="仿宋_GB2312" w:cs="仿宋_GB2312" w:eastAsia="仿宋_GB2312"/>
        </w:rPr>
        <w:t>和</w:t>
      </w:r>
      <w:r>
        <w:rPr>
          <w:rFonts w:ascii="仿宋_GB2312" w:hAnsi="仿宋_GB2312" w:cs="仿宋_GB2312" w:eastAsia="仿宋_GB2312"/>
        </w:rPr>
        <w:t>汇成项目管理有限公司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陕西省计量科学研究院</w:t>
      </w:r>
      <w:r>
        <w:rPr>
          <w:rFonts w:ascii="仿宋_GB2312" w:hAnsi="仿宋_GB2312" w:cs="仿宋_GB2312" w:eastAsia="仿宋_GB2312"/>
        </w:rPr>
        <w:t>负责解释。除上述招标文件内容，其他内容由</w:t>
      </w:r>
      <w:r>
        <w:rPr>
          <w:rFonts w:ascii="仿宋_GB2312" w:hAnsi="仿宋_GB2312" w:cs="仿宋_GB2312" w:eastAsia="仿宋_GB2312"/>
        </w:rPr>
        <w:t>汇成项目管理有限公司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陕西省计量科学研究院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汇成项目管理有限公司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验收以合同、招标文件、投标文件、证书、国家相应的标准、规范等为依据。符合合同要求。</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汇成项目管理有限公司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汇成项目管理有限公司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汇成项目管理有限公司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联系人：刘婧莎</w:t>
      </w:r>
    </w:p>
    <w:p>
      <w:pPr>
        <w:pStyle w:val="null3"/>
      </w:pPr>
      <w:r>
        <w:rPr>
          <w:rFonts w:ascii="仿宋_GB2312" w:hAnsi="仿宋_GB2312" w:cs="仿宋_GB2312" w:eastAsia="仿宋_GB2312"/>
        </w:rPr>
        <w:t>联系电话：029-68781555</w:t>
      </w:r>
    </w:p>
    <w:p>
      <w:pPr>
        <w:pStyle w:val="null3"/>
      </w:pPr>
      <w:r>
        <w:rPr>
          <w:rFonts w:ascii="仿宋_GB2312" w:hAnsi="仿宋_GB2312" w:cs="仿宋_GB2312" w:eastAsia="仿宋_GB2312"/>
        </w:rPr>
        <w:t>地址：陕西省西安市雁塔区团结南路12号西安国际人才大厦A座北1508</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采购2024年呼吸机检测仪校准装置技术能力提升装备项目（十一）</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1,680,000.00</w:t>
      </w:r>
    </w:p>
    <w:p>
      <w:pPr>
        <w:pStyle w:val="null3"/>
      </w:pPr>
      <w:r>
        <w:rPr>
          <w:rFonts w:ascii="仿宋_GB2312" w:hAnsi="仿宋_GB2312" w:cs="仿宋_GB2312" w:eastAsia="仿宋_GB2312"/>
        </w:rPr>
        <w:t>采购包最高限价（元）: 1,680,000.00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仪器设备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1,680,000.00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标的名称：仪器设备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center"/>
            </w:pPr>
            <w:r>
              <w:rPr>
                <w:rFonts w:ascii="仿宋_GB2312" w:hAnsi="仿宋_GB2312" w:cs="仿宋_GB2312" w:eastAsia="仿宋_GB2312"/>
                <w:sz w:val="30"/>
                <w:b/>
              </w:rPr>
              <w:t>2024</w:t>
            </w:r>
            <w:r>
              <w:rPr>
                <w:rFonts w:ascii="仿宋_GB2312" w:hAnsi="仿宋_GB2312" w:cs="仿宋_GB2312" w:eastAsia="仿宋_GB2312"/>
                <w:sz w:val="30"/>
                <w:b/>
              </w:rPr>
              <w:t>年呼吸机检测仪校准装置技术能力提升装备项目（十一）</w:t>
            </w:r>
            <w:r>
              <w:rPr>
                <w:rFonts w:ascii="仿宋_GB2312" w:hAnsi="仿宋_GB2312" w:cs="仿宋_GB2312" w:eastAsia="仿宋_GB2312"/>
                <w:sz w:val="30"/>
                <w:b/>
              </w:rPr>
              <w:t>拟购设备一览表</w:t>
            </w:r>
          </w:p>
          <w:tbl>
            <w:tblPr>
              <w:tblBorders>
                <w:top w:val="none" w:color="000000" w:sz="4"/>
                <w:left w:val="none" w:color="000000" w:sz="4"/>
                <w:bottom w:val="none" w:color="000000" w:sz="4"/>
                <w:right w:val="none" w:color="000000" w:sz="4"/>
                <w:insideH w:val="none"/>
                <w:insideV w:val="none"/>
              </w:tblBorders>
            </w:tblPr>
            <w:tblGrid>
              <w:gridCol w:w="244"/>
              <w:gridCol w:w="681"/>
              <w:gridCol w:w="212"/>
              <w:gridCol w:w="893"/>
              <w:gridCol w:w="298"/>
              <w:gridCol w:w="226"/>
            </w:tblGrid>
            <w:tr>
              <w:tc>
                <w:tcPr>
                  <w:tcW w:type="dxa" w:w="24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项目序号</w:t>
                  </w:r>
                </w:p>
              </w:tc>
              <w:tc>
                <w:tcPr>
                  <w:tcW w:type="dxa" w:w="68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项目名称</w:t>
                  </w:r>
                </w:p>
              </w:tc>
              <w:tc>
                <w:tcPr>
                  <w:tcW w:type="dxa" w:w="21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设备序号</w:t>
                  </w:r>
                </w:p>
              </w:tc>
              <w:tc>
                <w:tcPr>
                  <w:tcW w:type="dxa" w:w="8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设备名称</w:t>
                  </w:r>
                </w:p>
              </w:tc>
              <w:tc>
                <w:tcPr>
                  <w:tcW w:type="dxa" w:w="29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数量（台</w:t>
                  </w:r>
                  <w:r>
                    <w:rPr>
                      <w:rFonts w:ascii="仿宋_GB2312" w:hAnsi="仿宋_GB2312" w:cs="仿宋_GB2312" w:eastAsia="仿宋_GB2312"/>
                      <w:sz w:val="21"/>
                      <w:b/>
                    </w:rPr>
                    <w:t>/</w:t>
                  </w:r>
                  <w:r>
                    <w:rPr>
                      <w:rFonts w:ascii="仿宋_GB2312" w:hAnsi="仿宋_GB2312" w:cs="仿宋_GB2312" w:eastAsia="仿宋_GB2312"/>
                      <w:sz w:val="21"/>
                      <w:b/>
                    </w:rPr>
                    <w:t>套）</w:t>
                  </w:r>
                </w:p>
              </w:tc>
              <w:tc>
                <w:tcPr>
                  <w:tcW w:type="dxa" w:w="2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备注</w:t>
                  </w: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一</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新建呼吸机检测仪校准装置</w:t>
                  </w:r>
                </w:p>
              </w:tc>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8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呼吸机检测仪校准装置</w:t>
                  </w:r>
                </w:p>
              </w:tc>
              <w:tc>
                <w:tcPr>
                  <w:tcW w:type="dxa" w:w="2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jc w:val="center"/>
            </w:pPr>
            <w:r>
              <w:rPr>
                <w:rFonts w:ascii="仿宋_GB2312" w:hAnsi="仿宋_GB2312" w:cs="仿宋_GB2312" w:eastAsia="仿宋_GB2312"/>
                <w:sz w:val="30"/>
                <w:b/>
              </w:rPr>
              <w:t>拟购设备技术要求</w:t>
            </w:r>
          </w:p>
          <w:p>
            <w:pPr>
              <w:pStyle w:val="null3"/>
              <w:jc w:val="center"/>
            </w:pPr>
            <w:r>
              <w:rPr>
                <w:rFonts w:ascii="仿宋_GB2312" w:hAnsi="仿宋_GB2312" w:cs="仿宋_GB2312" w:eastAsia="仿宋_GB2312"/>
                <w:sz w:val="24"/>
                <w:b/>
              </w:rPr>
              <w:t>项目</w:t>
            </w:r>
            <w:r>
              <w:rPr>
                <w:rFonts w:ascii="仿宋_GB2312" w:hAnsi="仿宋_GB2312" w:cs="仿宋_GB2312" w:eastAsia="仿宋_GB2312"/>
                <w:sz w:val="24"/>
                <w:b/>
              </w:rPr>
              <w:t>序号</w:t>
            </w:r>
            <w:r>
              <w:rPr>
                <w:rFonts w:ascii="仿宋_GB2312" w:hAnsi="仿宋_GB2312" w:cs="仿宋_GB2312" w:eastAsia="仿宋_GB2312"/>
                <w:sz w:val="24"/>
                <w:b/>
              </w:rPr>
              <w:t>一</w:t>
            </w:r>
            <w:r>
              <w:rPr>
                <w:rFonts w:ascii="仿宋_GB2312" w:hAnsi="仿宋_GB2312" w:cs="仿宋_GB2312" w:eastAsia="仿宋_GB2312"/>
                <w:sz w:val="24"/>
                <w:b/>
              </w:rPr>
              <w:t xml:space="preserve">  </w:t>
            </w:r>
            <w:r>
              <w:rPr>
                <w:rFonts w:ascii="仿宋_GB2312" w:hAnsi="仿宋_GB2312" w:cs="仿宋_GB2312" w:eastAsia="仿宋_GB2312"/>
                <w:sz w:val="24"/>
                <w:b/>
              </w:rPr>
              <w:t>新建呼吸机检测仪校准装置</w:t>
            </w:r>
          </w:p>
          <w:p>
            <w:pPr>
              <w:pStyle w:val="null3"/>
              <w:spacing w:before="255" w:after="255"/>
              <w:jc w:val="both"/>
              <w:outlineLvl w:val="1"/>
            </w:pPr>
            <w:r>
              <w:rPr>
                <w:rFonts w:ascii="仿宋_GB2312" w:hAnsi="仿宋_GB2312" w:cs="仿宋_GB2312" w:eastAsia="仿宋_GB2312"/>
                <w:sz w:val="21"/>
                <w:b/>
              </w:rPr>
              <w:t>一、</w:t>
            </w:r>
            <w:r>
              <w:rPr>
                <w:rFonts w:ascii="仿宋_GB2312" w:hAnsi="仿宋_GB2312" w:cs="仿宋_GB2312" w:eastAsia="仿宋_GB2312"/>
                <w:sz w:val="21"/>
                <w:b/>
              </w:rPr>
              <w:t>呼吸机</w:t>
            </w:r>
            <w:r>
              <w:rPr>
                <w:rFonts w:ascii="仿宋_GB2312" w:hAnsi="仿宋_GB2312" w:cs="仿宋_GB2312" w:eastAsia="仿宋_GB2312"/>
                <w:sz w:val="21"/>
                <w:b/>
              </w:rPr>
              <w:t>检测仪校准</w:t>
            </w:r>
            <w:r>
              <w:rPr>
                <w:rFonts w:ascii="仿宋_GB2312" w:hAnsi="仿宋_GB2312" w:cs="仿宋_GB2312" w:eastAsia="仿宋_GB2312"/>
                <w:sz w:val="21"/>
                <w:b/>
              </w:rPr>
              <w:t>装置</w:t>
            </w:r>
            <w:r>
              <w:rPr>
                <w:rFonts w:ascii="仿宋_GB2312" w:hAnsi="仿宋_GB2312" w:cs="仿宋_GB2312" w:eastAsia="仿宋_GB2312"/>
                <w:sz w:val="22"/>
                <w:b/>
              </w:rPr>
              <w:t xml:space="preserve">                                           </w:t>
            </w:r>
          </w:p>
          <w:p>
            <w:pPr>
              <w:pStyle w:val="null3"/>
              <w:spacing w:before="105" w:after="105"/>
              <w:ind w:firstLine="200"/>
              <w:jc w:val="left"/>
            </w:pPr>
            <w:r>
              <w:rPr>
                <w:rFonts w:ascii="仿宋_GB2312" w:hAnsi="仿宋_GB2312" w:cs="仿宋_GB2312" w:eastAsia="仿宋_GB2312"/>
                <w:sz w:val="22"/>
              </w:rPr>
              <w:t>1.</w:t>
            </w:r>
            <w:r>
              <w:rPr>
                <w:rFonts w:ascii="仿宋_GB2312" w:hAnsi="仿宋_GB2312" w:cs="仿宋_GB2312" w:eastAsia="仿宋_GB2312"/>
                <w:sz w:val="22"/>
              </w:rPr>
              <w:t>流量范围：（</w:t>
            </w:r>
            <w:r>
              <w:rPr>
                <w:rFonts w:ascii="仿宋_GB2312" w:hAnsi="仿宋_GB2312" w:cs="仿宋_GB2312" w:eastAsia="仿宋_GB2312"/>
                <w:sz w:val="22"/>
              </w:rPr>
              <w:t>0.5～200）L/min，最大允许误差：±0.5%。</w:t>
            </w:r>
          </w:p>
          <w:p>
            <w:pPr>
              <w:pStyle w:val="null3"/>
              <w:spacing w:before="105" w:after="105"/>
              <w:ind w:firstLine="200"/>
              <w:jc w:val="both"/>
            </w:pPr>
            <w:r>
              <w:rPr>
                <w:rFonts w:ascii="仿宋_GB2312" w:hAnsi="仿宋_GB2312" w:cs="仿宋_GB2312" w:eastAsia="仿宋_GB2312"/>
                <w:sz w:val="22"/>
              </w:rPr>
              <w:t>2.</w:t>
            </w:r>
            <w:r>
              <w:rPr>
                <w:rFonts w:ascii="仿宋_GB2312" w:hAnsi="仿宋_GB2312" w:cs="仿宋_GB2312" w:eastAsia="仿宋_GB2312"/>
                <w:sz w:val="22"/>
              </w:rPr>
              <w:t>潮气量范围：（</w:t>
            </w:r>
            <w:r>
              <w:rPr>
                <w:rFonts w:ascii="仿宋_GB2312" w:hAnsi="仿宋_GB2312" w:cs="仿宋_GB2312" w:eastAsia="仿宋_GB2312"/>
                <w:sz w:val="22"/>
              </w:rPr>
              <w:t xml:space="preserve">50-2000）ml，最大允许误差不大于±1%或±3ml。                 </w:t>
            </w:r>
          </w:p>
          <w:p>
            <w:pPr>
              <w:pStyle w:val="null3"/>
              <w:spacing w:before="105" w:after="105"/>
              <w:ind w:firstLine="200"/>
              <w:jc w:val="both"/>
            </w:pPr>
            <w:r>
              <w:rPr>
                <w:rFonts w:ascii="仿宋_GB2312" w:hAnsi="仿宋_GB2312" w:cs="仿宋_GB2312" w:eastAsia="仿宋_GB2312"/>
                <w:sz w:val="22"/>
              </w:rPr>
              <w:t>3.</w:t>
            </w:r>
            <w:r>
              <w:rPr>
                <w:rFonts w:ascii="仿宋_GB2312" w:hAnsi="仿宋_GB2312" w:cs="仿宋_GB2312" w:eastAsia="仿宋_GB2312"/>
                <w:sz w:val="22"/>
              </w:rPr>
              <w:t>呼吸频率：（</w:t>
            </w:r>
            <w:r>
              <w:rPr>
                <w:rFonts w:ascii="仿宋_GB2312" w:hAnsi="仿宋_GB2312" w:cs="仿宋_GB2312" w:eastAsia="仿宋_GB2312"/>
                <w:sz w:val="22"/>
              </w:rPr>
              <w:t xml:space="preserve">1-80）次/min，最大允许误差±1%或0.1次/分，取绝对值大者。         </w:t>
            </w:r>
          </w:p>
          <w:p>
            <w:pPr>
              <w:pStyle w:val="null3"/>
              <w:spacing w:before="105" w:after="105"/>
              <w:ind w:firstLine="200"/>
              <w:jc w:val="both"/>
            </w:pPr>
            <w:r>
              <w:rPr>
                <w:rFonts w:ascii="仿宋_GB2312" w:hAnsi="仿宋_GB2312" w:cs="仿宋_GB2312" w:eastAsia="仿宋_GB2312"/>
                <w:sz w:val="22"/>
              </w:rPr>
              <w:t>4.</w:t>
            </w:r>
            <w:r>
              <w:rPr>
                <w:rFonts w:ascii="仿宋_GB2312" w:hAnsi="仿宋_GB2312" w:cs="仿宋_GB2312" w:eastAsia="仿宋_GB2312"/>
                <w:sz w:val="22"/>
              </w:rPr>
              <w:t>静态压力范围：（</w:t>
            </w:r>
            <w:r>
              <w:rPr>
                <w:rFonts w:ascii="仿宋_GB2312" w:hAnsi="仿宋_GB2312" w:cs="仿宋_GB2312" w:eastAsia="仿宋_GB2312"/>
                <w:sz w:val="22"/>
              </w:rPr>
              <w:t>0-15）kPa，最大允许误差±0.03kPa。</w:t>
            </w:r>
          </w:p>
          <w:p>
            <w:pPr>
              <w:pStyle w:val="null3"/>
              <w:spacing w:before="105" w:after="105"/>
              <w:ind w:firstLine="200"/>
              <w:jc w:val="both"/>
            </w:pPr>
            <w:r>
              <w:rPr>
                <w:rFonts w:ascii="仿宋_GB2312" w:hAnsi="仿宋_GB2312" w:cs="仿宋_GB2312" w:eastAsia="仿宋_GB2312"/>
                <w:sz w:val="21"/>
              </w:rPr>
              <w:t xml:space="preserve">5. </w:t>
            </w:r>
            <w:r>
              <w:rPr>
                <w:rFonts w:ascii="仿宋_GB2312" w:hAnsi="仿宋_GB2312" w:cs="仿宋_GB2312" w:eastAsia="仿宋_GB2312"/>
                <w:sz w:val="21"/>
              </w:rPr>
              <w:t>氧浓度</w:t>
            </w:r>
            <w:r>
              <w:rPr>
                <w:rFonts w:ascii="仿宋_GB2312" w:hAnsi="仿宋_GB2312" w:cs="仿宋_GB2312" w:eastAsia="仿宋_GB2312"/>
                <w:sz w:val="21"/>
              </w:rPr>
              <w:t>：</w:t>
            </w:r>
            <w:r>
              <w:rPr>
                <w:rFonts w:ascii="仿宋_GB2312" w:hAnsi="仿宋_GB2312" w:cs="仿宋_GB2312" w:eastAsia="仿宋_GB2312"/>
                <w:sz w:val="21"/>
              </w:rPr>
              <w:t>21%~</w:t>
            </w:r>
            <w:r>
              <w:rPr>
                <w:rFonts w:ascii="仿宋_GB2312" w:hAnsi="仿宋_GB2312" w:cs="仿宋_GB2312" w:eastAsia="仿宋_GB2312"/>
                <w:sz w:val="21"/>
              </w:rPr>
              <w:t>1</w:t>
            </w:r>
            <w:r>
              <w:rPr>
                <w:rFonts w:ascii="仿宋_GB2312" w:hAnsi="仿宋_GB2312" w:cs="仿宋_GB2312" w:eastAsia="仿宋_GB2312"/>
                <w:sz w:val="21"/>
              </w:rPr>
              <w:t>00%</w:t>
            </w:r>
            <w:r>
              <w:rPr>
                <w:rFonts w:ascii="仿宋_GB2312" w:hAnsi="仿宋_GB2312" w:cs="仿宋_GB2312" w:eastAsia="仿宋_GB2312"/>
                <w:sz w:val="21"/>
              </w:rPr>
              <w:t>（</w:t>
            </w:r>
            <w:r>
              <w:rPr>
                <w:rFonts w:ascii="仿宋_GB2312" w:hAnsi="仿宋_GB2312" w:cs="仿宋_GB2312" w:eastAsia="仿宋_GB2312"/>
                <w:sz w:val="21"/>
              </w:rPr>
              <w:t>体积分数</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最大允许误差为</w:t>
            </w: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（体积分数）或扩展不确定度为</w:t>
            </w: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i/>
              </w:rPr>
              <w:t>k</w:t>
            </w:r>
            <w:r>
              <w:rPr>
                <w:rFonts w:ascii="仿宋_GB2312" w:hAnsi="仿宋_GB2312" w:cs="仿宋_GB2312" w:eastAsia="仿宋_GB2312"/>
                <w:sz w:val="21"/>
              </w:rPr>
              <w:t>=3</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 xml:space="preserve">6. </w:t>
            </w:r>
            <w:r>
              <w:rPr>
                <w:rFonts w:ascii="仿宋_GB2312" w:hAnsi="仿宋_GB2312" w:cs="仿宋_GB2312" w:eastAsia="仿宋_GB2312"/>
                <w:sz w:val="21"/>
              </w:rPr>
              <w:t>气道峰</w:t>
            </w:r>
            <w:r>
              <w:rPr>
                <w:rFonts w:ascii="仿宋_GB2312" w:hAnsi="仿宋_GB2312" w:cs="仿宋_GB2312" w:eastAsia="仿宋_GB2312"/>
                <w:sz w:val="21"/>
              </w:rPr>
              <w:t>压：压力范围（</w:t>
            </w:r>
            <w:r>
              <w:rPr>
                <w:rFonts w:ascii="仿宋_GB2312" w:hAnsi="仿宋_GB2312" w:cs="仿宋_GB2312" w:eastAsia="仿宋_GB2312"/>
                <w:sz w:val="21"/>
              </w:rPr>
              <w:t>0-6</w:t>
            </w:r>
            <w:r>
              <w:rPr>
                <w:rFonts w:ascii="仿宋_GB2312" w:hAnsi="仿宋_GB2312" w:cs="仿宋_GB2312" w:eastAsia="仿宋_GB2312"/>
                <w:sz w:val="21"/>
              </w:rPr>
              <w:t>）</w:t>
            </w:r>
            <w:r>
              <w:rPr>
                <w:rFonts w:ascii="仿宋_GB2312" w:hAnsi="仿宋_GB2312" w:cs="仿宋_GB2312" w:eastAsia="仿宋_GB2312"/>
                <w:sz w:val="21"/>
              </w:rPr>
              <w:t xml:space="preserve">kPa </w:t>
            </w:r>
            <w:r>
              <w:rPr>
                <w:rFonts w:ascii="仿宋_GB2312" w:hAnsi="仿宋_GB2312" w:cs="仿宋_GB2312" w:eastAsia="仿宋_GB2312"/>
                <w:sz w:val="21"/>
              </w:rPr>
              <w:t>，最大允许误差为±</w:t>
            </w:r>
            <w:r>
              <w:rPr>
                <w:rFonts w:ascii="仿宋_GB2312" w:hAnsi="仿宋_GB2312" w:cs="仿宋_GB2312" w:eastAsia="仿宋_GB2312"/>
                <w:sz w:val="21"/>
              </w:rPr>
              <w:t>0.</w:t>
            </w:r>
            <w:r>
              <w:rPr>
                <w:rFonts w:ascii="仿宋_GB2312" w:hAnsi="仿宋_GB2312" w:cs="仿宋_GB2312" w:eastAsia="仿宋_GB2312"/>
                <w:sz w:val="21"/>
              </w:rPr>
              <w:t>03</w:t>
            </w:r>
            <w:r>
              <w:rPr>
                <w:rFonts w:ascii="仿宋_GB2312" w:hAnsi="仿宋_GB2312" w:cs="仿宋_GB2312" w:eastAsia="仿宋_GB2312"/>
                <w:sz w:val="21"/>
              </w:rPr>
              <w:t xml:space="preserve"> </w:t>
            </w:r>
            <w:r>
              <w:rPr>
                <w:rFonts w:ascii="仿宋_GB2312" w:hAnsi="仿宋_GB2312" w:cs="仿宋_GB2312" w:eastAsia="仿宋_GB2312"/>
                <w:sz w:val="21"/>
              </w:rPr>
              <w:t>kPa</w:t>
            </w:r>
            <w:r>
              <w:rPr>
                <w:rFonts w:ascii="仿宋_GB2312" w:hAnsi="仿宋_GB2312" w:cs="仿宋_GB2312" w:eastAsia="仿宋_GB2312"/>
                <w:sz w:val="21"/>
              </w:rPr>
              <w:t>。</w:t>
            </w:r>
          </w:p>
          <w:p>
            <w:pPr>
              <w:pStyle w:val="null3"/>
              <w:ind w:firstLine="210"/>
              <w:jc w:val="left"/>
            </w:pPr>
            <w:r>
              <w:rPr>
                <w:rFonts w:ascii="仿宋_GB2312" w:hAnsi="仿宋_GB2312" w:cs="仿宋_GB2312" w:eastAsia="仿宋_GB2312"/>
                <w:sz w:val="21"/>
              </w:rPr>
              <w:t>呼吸末正压：压力范围（</w:t>
            </w:r>
            <w:r>
              <w:rPr>
                <w:rFonts w:ascii="仿宋_GB2312" w:hAnsi="仿宋_GB2312" w:cs="仿宋_GB2312" w:eastAsia="仿宋_GB2312"/>
                <w:sz w:val="21"/>
              </w:rPr>
              <w:t>0-3</w:t>
            </w:r>
            <w:r>
              <w:rPr>
                <w:rFonts w:ascii="仿宋_GB2312" w:hAnsi="仿宋_GB2312" w:cs="仿宋_GB2312" w:eastAsia="仿宋_GB2312"/>
                <w:sz w:val="21"/>
              </w:rPr>
              <w:t>）</w:t>
            </w:r>
            <w:r>
              <w:rPr>
                <w:rFonts w:ascii="仿宋_GB2312" w:hAnsi="仿宋_GB2312" w:cs="仿宋_GB2312" w:eastAsia="仿宋_GB2312"/>
                <w:sz w:val="21"/>
              </w:rPr>
              <w:t xml:space="preserve">kPa </w:t>
            </w:r>
            <w:r>
              <w:rPr>
                <w:rFonts w:ascii="仿宋_GB2312" w:hAnsi="仿宋_GB2312" w:cs="仿宋_GB2312" w:eastAsia="仿宋_GB2312"/>
                <w:sz w:val="21"/>
              </w:rPr>
              <w:t>，最大允许误差为±</w:t>
            </w:r>
            <w:r>
              <w:rPr>
                <w:rFonts w:ascii="仿宋_GB2312" w:hAnsi="仿宋_GB2312" w:cs="仿宋_GB2312" w:eastAsia="仿宋_GB2312"/>
                <w:sz w:val="21"/>
              </w:rPr>
              <w:t>0.</w:t>
            </w:r>
            <w:r>
              <w:rPr>
                <w:rFonts w:ascii="仿宋_GB2312" w:hAnsi="仿宋_GB2312" w:cs="仿宋_GB2312" w:eastAsia="仿宋_GB2312"/>
                <w:sz w:val="21"/>
              </w:rPr>
              <w:t>03</w:t>
            </w:r>
            <w:r>
              <w:rPr>
                <w:rFonts w:ascii="仿宋_GB2312" w:hAnsi="仿宋_GB2312" w:cs="仿宋_GB2312" w:eastAsia="仿宋_GB2312"/>
                <w:sz w:val="21"/>
              </w:rPr>
              <w:t xml:space="preserve"> </w:t>
            </w:r>
            <w:r>
              <w:rPr>
                <w:rFonts w:ascii="仿宋_GB2312" w:hAnsi="仿宋_GB2312" w:cs="仿宋_GB2312" w:eastAsia="仿宋_GB2312"/>
                <w:sz w:val="21"/>
              </w:rPr>
              <w:t>kPa</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提供</w:t>
            </w:r>
            <w:r>
              <w:rPr>
                <w:rFonts w:ascii="仿宋_GB2312" w:hAnsi="仿宋_GB2312" w:cs="仿宋_GB2312" w:eastAsia="仿宋_GB2312"/>
                <w:sz w:val="21"/>
              </w:rPr>
              <w:t>中国计量科学研究院溯源证书。</w:t>
            </w:r>
          </w:p>
          <w:p>
            <w:pPr>
              <w:pStyle w:val="null3"/>
              <w:jc w:val="left"/>
            </w:pPr>
            <w:r>
              <w:rPr>
                <w:rFonts w:ascii="仿宋_GB2312" w:hAnsi="仿宋_GB2312" w:cs="仿宋_GB2312" w:eastAsia="仿宋_GB2312"/>
                <w:sz w:val="21"/>
              </w:rPr>
              <w:t>8</w:t>
            </w:r>
            <w:r>
              <w:rPr>
                <w:rFonts w:ascii="仿宋_GB2312" w:hAnsi="仿宋_GB2312" w:cs="仿宋_GB2312" w:eastAsia="仿宋_GB2312"/>
                <w:sz w:val="21"/>
              </w:rPr>
              <w:t>.</w:t>
            </w:r>
            <w:r>
              <w:rPr>
                <w:rFonts w:ascii="仿宋_GB2312" w:hAnsi="仿宋_GB2312" w:cs="仿宋_GB2312" w:eastAsia="仿宋_GB2312"/>
                <w:sz w:val="21"/>
              </w:rPr>
              <w:t xml:space="preserve"> </w:t>
            </w:r>
            <w:r>
              <w:rPr>
                <w:rFonts w:ascii="仿宋_GB2312" w:hAnsi="仿宋_GB2312" w:cs="仿宋_GB2312" w:eastAsia="仿宋_GB2312"/>
                <w:sz w:val="21"/>
              </w:rPr>
              <w:t>质保期限</w:t>
            </w:r>
            <w:r>
              <w:rPr>
                <w:rFonts w:ascii="仿宋_GB2312" w:hAnsi="仿宋_GB2312" w:cs="仿宋_GB2312" w:eastAsia="仿宋_GB2312"/>
                <w:sz w:val="21"/>
              </w:rPr>
              <w:t>2</w:t>
            </w:r>
            <w:r>
              <w:rPr>
                <w:rFonts w:ascii="仿宋_GB2312" w:hAnsi="仿宋_GB2312" w:cs="仿宋_GB2312" w:eastAsia="仿宋_GB2312"/>
                <w:sz w:val="21"/>
              </w:rPr>
              <w:t>年。</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自合同签订之日起十二个月。供应商逾期交付货物的，每逾期1天，供应商向采购方偿付货款总额的5‱ 的滞纳金。如供应商逾期交货达60天，采购方有权解除合同，同时供应商应及时退还采购方预付款并向采购方支付合同总价 5 ％的违约金，解除合同的通知自到达供应商时生效。</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所有设备供货到位，经初步验收合格后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所有设备安装、调试、培训完成后，经甲方科学技术委员会验收合格</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仪器到达用户指定地点后，采购方应在合理时间内组织与中标方共同开箱验货, 现场确认设备规格、型号等问题。货物经过验收后中标方可进行安装、调试，达到使用条件后，由采购方负责组织验收，或者邀请有关专家、质检机构等共同进行验收；通过验收的应填写验收表，并交接全部项目资料。验收以合同、招标文件、投标文件、证书、国家相应的标准、规范等为依据。</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自验收合格之日起算，以仪器设备详细技术要求中各产品技术要求为准，无明确要求的质保期壹年。乙方需提供售后服务承诺函。质保期内，损坏部件的修理费、往返运保费等由供应商承担；质保期外，只收取单程的运保费及已维修的原器件成本费，未尽事宜由双方协商解决。</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合同在履行过程中发生的争议、由采购方、中标方当事人协商解决；也可由当地市场监督管理部门调解；协商或调解不成的按下列第二种方式解决:1. 提交西安仲裁委员会仲裁；2. 依法向采购方所在地人民法院起诉。</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中小企业声明函 残疾人福利性单位声明函 商务应答表 投标文件封面 投标人应提交的相关资格证明材料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投标函 投标文件封面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投标文件封面 投标人应提交的相关资格证明材料</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本项目的特定资格要求</w:t>
            </w:r>
          </w:p>
        </w:tc>
        <w:tc>
          <w:tcPr>
            <w:tcW w:type="dxa" w:w="3322"/>
          </w:tcPr>
          <w:p>
            <w:pPr>
              <w:pStyle w:val="null3"/>
            </w:pPr>
            <w:r>
              <w:rPr>
                <w:rFonts w:ascii="仿宋_GB2312" w:hAnsi="仿宋_GB2312" w:cs="仿宋_GB2312" w:eastAsia="仿宋_GB2312"/>
              </w:rPr>
              <w:t>（1）、具有独立承担民事责任能力的法人、其他组织或自然人，并出具合法有效的营业执照或事业单位法人证书等国家规定的相关证明，自然人参与的提供其身份证明; （2）、财务状况报告（二选一）：①供应商提供2023年度或2024年度任一年度经会计事务所或审计机构审计的完整的财务审计报告（成立时间至提供响应文件截止时间不足一年的可提供成立后任意时段的资产负债表）；②在磋商截止时间前三个月内其开户银行出具的资信证明（附开户许可证或基本账户存款信息）；（3）、税收缴纳证明：提供2024年1月1日至今任意时间段的纳税证明或完税证明，依法免税的单位应提供相关证明材料; （4）、社会保障资金缴纳证明：提供2024年1月1日至今任意时间段的社会保障资金缴存单据或社保机构开具的社会保险参保缴费情况证明，依法不需要缴纳社会保障资金的单位应提供相关证明材料; （5）、供应商应在开标截止日前未被列入失信被执行人、重大税收违法案件当事人名单、政府采购严重违法失信行为记录名单（处罚期限届满的除外）（以“信用中国”网站（www.creditchina.gov.cn）或中国政府采购网（www.ccgp.gov.cn）查询结果为准，提供网站截图（查询日期为从招标文件发售之日起至开标截止日前）并加盖供应商公章；（6）、法定代表人授权书及被授权人身份证。（法定代表人直接投标只须提交其身份证原件）；（7）、供应商应出具参加政府采购活动前3年内在经营活动中没有重大违法记录的书面声明; （8）提供具有履行本合同所必需的设备和专业技术能力的书面声明； 注：本项目不接受联合体投标。</w:t>
            </w:r>
          </w:p>
        </w:tc>
        <w:tc>
          <w:tcPr>
            <w:tcW w:type="dxa" w:w="1661"/>
          </w:tcPr>
          <w:p>
            <w:pPr>
              <w:pStyle w:val="null3"/>
            </w:pPr>
            <w:r>
              <w:rPr>
                <w:rFonts w:ascii="仿宋_GB2312" w:hAnsi="仿宋_GB2312" w:cs="仿宋_GB2312" w:eastAsia="仿宋_GB2312"/>
              </w:rPr>
              <w:t>投标函 中小企业声明函 残疾人福利性单位声明函 拒绝政府采购领域商业贿赂承诺书.docx 商务应答表 投标文件封面 监狱企业的证明文件 投标人应提交的相关资格证明材料 供应商关联承诺书.docx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参与的供应商提供的货物全部由符合政策要求的中小企业制造。</w:t>
            </w:r>
          </w:p>
        </w:tc>
        <w:tc>
          <w:tcPr>
            <w:tcW w:type="dxa" w:w="1661"/>
          </w:tcPr>
          <w:p>
            <w:pPr>
              <w:pStyle w:val="null3"/>
            </w:pPr>
            <w:r>
              <w:rPr>
                <w:rFonts w:ascii="仿宋_GB2312" w:hAnsi="仿宋_GB2312" w:cs="仿宋_GB2312" w:eastAsia="仿宋_GB2312"/>
              </w:rPr>
              <w:t>投标函 中小企业声明函 残疾人福利性单位声明函 标的清单 投标文件封面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投标文件签字盖章</w:t>
            </w:r>
          </w:p>
        </w:tc>
        <w:tc>
          <w:tcPr>
            <w:tcW w:type="dxa" w:w="3322"/>
          </w:tcPr>
          <w:p>
            <w:pPr>
              <w:pStyle w:val="null3"/>
            </w:pPr>
            <w:r>
              <w:rPr>
                <w:rFonts w:ascii="仿宋_GB2312" w:hAnsi="仿宋_GB2312" w:cs="仿宋_GB2312" w:eastAsia="仿宋_GB2312"/>
              </w:rPr>
              <w:t>符合招标文件签字盖章的要求</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投标响应文件有效期</w:t>
            </w:r>
          </w:p>
        </w:tc>
        <w:tc>
          <w:tcPr>
            <w:tcW w:type="dxa" w:w="3322"/>
          </w:tcPr>
          <w:p>
            <w:pPr>
              <w:pStyle w:val="null3"/>
            </w:pPr>
            <w:r>
              <w:rPr>
                <w:rFonts w:ascii="仿宋_GB2312" w:hAnsi="仿宋_GB2312" w:cs="仿宋_GB2312" w:eastAsia="仿宋_GB2312"/>
              </w:rPr>
              <w:t>投标响应文件的有效期达到招标文件要求</w:t>
            </w:r>
          </w:p>
        </w:tc>
        <w:tc>
          <w:tcPr>
            <w:tcW w:type="dxa" w:w="1661"/>
          </w:tcPr>
          <w:p>
            <w:pPr>
              <w:pStyle w:val="null3"/>
            </w:pPr>
            <w:r>
              <w:rPr>
                <w:rFonts w:ascii="仿宋_GB2312" w:hAnsi="仿宋_GB2312" w:cs="仿宋_GB2312" w:eastAsia="仿宋_GB2312"/>
              </w:rPr>
              <w:t>投标文件封面</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技术参数及方案</w:t>
            </w:r>
          </w:p>
        </w:tc>
        <w:tc>
          <w:tcPr>
            <w:tcW w:type="dxa" w:w="2492"/>
          </w:tcPr>
          <w:p>
            <w:pPr>
              <w:pStyle w:val="null3"/>
            </w:pPr>
            <w:r>
              <w:rPr>
                <w:rFonts w:ascii="仿宋_GB2312" w:hAnsi="仿宋_GB2312" w:cs="仿宋_GB2312" w:eastAsia="仿宋_GB2312"/>
              </w:rPr>
              <w:t>投标产品的技术参数、配置和功能需求评审依据为生产厂家出具的、相应的功能证明材料（包括但不限于测试报告、彩页、官网和功能截图等）及投标产品技术参数偏离表等； 1、基本分（25分），完全响应招标文件要求，满足采购需求、技术参数没有负偏离，计基本分25分；参数中每有一条技术指标负偏离扣2分，扣完为止； 2、功能及配置分（5分）： 2-1 所投产品的检测报告、产品认证证书等资料齐全、产品彩页清晰，技术方案和设备功能描述详细，产品选型有充分的依据，配套设施完善，各类证明材料完整，计4.1-5分； 2-2 所投产品佐证材料较完善，产品认证证书等资料较齐全，有技术方案和设备功能描述，产品选型合理，有产品配套内容，各类证明材料较为完整，计2.1-4分； 2-3 所投产品技术资料、检测报告、产品认证证书等资料不完整，产品功能描述一般，技术参数不明确，产品选型和配套不合理，各类证明材料不完整，计1.0-2分；未提供不计分； 3、技术指标、参数优于招标文件规定的相应技术指标、参数，并且有实质性能提升的，经评标委员会一致认可的可进行相应加分，每项加1分，最多加5分。 4、投标人有完善的管理体系，针对本项目的实施组织机构、人员安排有具体方案，分工合理、责任明确，能确保项目顺利实施。投标人针对本项目有具体的供货组织安排，从仓储、运输、派送措施等方面，提供详细的实施方案和供货计划表，能确保按期交货，根据其响应程度计0-5分。</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业绩：提供投标人2021年1月1日至今所投类似产品业绩（仅限投标人本身）（提供合同复印件加盖公章），每份计1分，满分5分。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类似项目业绩.docx</w:t>
            </w:r>
          </w:p>
        </w:tc>
      </w:tr>
      <w:tr>
        <w:tc>
          <w:tcPr>
            <w:tcW w:type="dxa" w:w="831"/>
            <w:vMerge/>
          </w:tcPr>
          <w:p/>
        </w:tc>
        <w:tc>
          <w:tcPr>
            <w:tcW w:type="dxa" w:w="1661"/>
          </w:tcPr>
          <w:p>
            <w:pPr>
              <w:pStyle w:val="null3"/>
            </w:pPr>
            <w:r>
              <w:rPr>
                <w:rFonts w:ascii="仿宋_GB2312" w:hAnsi="仿宋_GB2312" w:cs="仿宋_GB2312" w:eastAsia="仿宋_GB2312"/>
              </w:rPr>
              <w:t>质量维保</w:t>
            </w:r>
          </w:p>
        </w:tc>
        <w:tc>
          <w:tcPr>
            <w:tcW w:type="dxa" w:w="2492"/>
          </w:tcPr>
          <w:p>
            <w:pPr>
              <w:pStyle w:val="null3"/>
            </w:pPr>
            <w:r>
              <w:rPr>
                <w:rFonts w:ascii="仿宋_GB2312" w:hAnsi="仿宋_GB2312" w:cs="仿宋_GB2312" w:eastAsia="仿宋_GB2312"/>
              </w:rPr>
              <w:t>1、产品及备品备件货源渠道正常，供应充足，产地及制造商明确，产品销售记录可追溯，提供相关证明材料，按其响应程度计分。 [3-5分]产品货源渠道明晰，产品授权齐全。技术资料齐全，备品、配件供应有保障，零配件供应充足、及时。 [2-3分）产品货源渠道明晰，产品授权齐全，备品备件等供应基本能满足需要。 [0-1分）产品货源渠道不明确，产品授权不齐全，无法确定备品备件供应是否能满足需要。 2、所投产品的质量标准、检测标准符合或高于国家标准，根据测试手段先进性，出具检测报告等证明材料，综合赋分。 [3-5分] 产品技术佐证资料全面、有效，能够有效证明产品质量符合或优于采购要求； [1-3分）产品技术资料较全面，能够证明产品质量符合采购要求； [0-1分）材料欠缺，难以有效证明产品质量或缺失佐证材料。 3、维保方案：制定完善、具体、可行的服务方案（包含：日常、月度、年度维保方案）有明确的保障措施，人员安排有具体方案，分工合理、责任明确，安装、检测、调试等方面保证措施完善。按其响应程度打分。 [3-5分]方案详细、合理性强、可操作性强、针对性强； [1-3分）方案较为详细、合理性较好、可操作性较好、具有一定针对性； [0-1分）方案笼统、针对性及可操作性差，或无本项方案。 4、维保期延长一年得1分，最多加2分。</w:t>
            </w:r>
          </w:p>
        </w:tc>
        <w:tc>
          <w:tcPr>
            <w:tcW w:type="dxa" w:w="831"/>
          </w:tcPr>
          <w:p>
            <w:pPr>
              <w:pStyle w:val="null3"/>
              <w:jc w:val="right"/>
            </w:pPr>
            <w:r>
              <w:rPr>
                <w:rFonts w:ascii="仿宋_GB2312" w:hAnsi="仿宋_GB2312" w:cs="仿宋_GB2312" w:eastAsia="仿宋_GB2312"/>
              </w:rPr>
              <w:t>17.0000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质量维保说明.docx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投标人制定完善可行、有针对性的培训服务方案，能够保障使用单位能熟练操作维护和正常使用。 1.培训服务方案详细可行得6.1-8分； 2.基本合理得3.1-6分； 3.提供但合理性不强得1-3分； 4.未提供得0分。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培训方案.docx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投标价格得分</w:t>
            </w:r>
          </w:p>
        </w:tc>
        <w:tc>
          <w:tcPr>
            <w:tcW w:type="dxa" w:w="2492"/>
          </w:tcPr>
          <w:p>
            <w:pPr>
              <w:pStyle w:val="null3"/>
            </w:pPr>
            <w:r>
              <w:rPr>
                <w:rFonts w:ascii="仿宋_GB2312" w:hAnsi="仿宋_GB2312" w:cs="仿宋_GB2312" w:eastAsia="仿宋_GB2312"/>
              </w:rPr>
              <w:t>经初审合格的投标文件，其投标报价为有效投标价。 评标基准价：即满足招标文件要求且投标价格最低的投标报价为评标基准价。 其他供应商的价格分按照下列公式计算。投标报价得分=(评标基准价／投标报价)×30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详见附件：供应商关联承诺书.docx</w:t>
      </w:r>
    </w:p>
    <w:p>
      <w:pPr>
        <w:pStyle w:val="null3"/>
        <w:ind w:firstLine="960"/>
      </w:pPr>
      <w:r>
        <w:rPr>
          <w:rFonts w:ascii="仿宋_GB2312" w:hAnsi="仿宋_GB2312" w:cs="仿宋_GB2312" w:eastAsia="仿宋_GB2312"/>
        </w:rPr>
        <w:t>详见附件：拒绝政府采购领域商业贿赂承诺书.docx</w:t>
      </w:r>
    </w:p>
    <w:p>
      <w:pPr>
        <w:pStyle w:val="null3"/>
        <w:ind w:firstLine="960"/>
      </w:pPr>
      <w:r>
        <w:rPr>
          <w:rFonts w:ascii="仿宋_GB2312" w:hAnsi="仿宋_GB2312" w:cs="仿宋_GB2312" w:eastAsia="仿宋_GB2312"/>
        </w:rPr>
        <w:t>详见附件：质量维保说明.docx</w:t>
      </w:r>
    </w:p>
    <w:p>
      <w:pPr>
        <w:pStyle w:val="null3"/>
        <w:ind w:firstLine="960"/>
      </w:pPr>
      <w:r>
        <w:rPr>
          <w:rFonts w:ascii="仿宋_GB2312" w:hAnsi="仿宋_GB2312" w:cs="仿宋_GB2312" w:eastAsia="仿宋_GB2312"/>
        </w:rPr>
        <w:t>详见附件：类似项目业绩.docx</w:t>
      </w:r>
    </w:p>
    <w:p>
      <w:pPr>
        <w:pStyle w:val="null3"/>
        <w:ind w:firstLine="960"/>
      </w:pPr>
      <w:r>
        <w:rPr>
          <w:rFonts w:ascii="仿宋_GB2312" w:hAnsi="仿宋_GB2312" w:cs="仿宋_GB2312" w:eastAsia="仿宋_GB2312"/>
        </w:rPr>
        <w:t>详见附件：培训方案.docx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详见附件：合同模板(1).docx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