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版本号：SCZA2025-CS-0900-001R20250507001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第九届丝博会综合服务项目线上丝博会(二次)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SCZA2025-CS-0900-001R</w:t>
      </w:r>
      <w:r>
        <w:br/>
      </w:r>
      <w:r>
        <w:br/>
      </w:r>
      <w:r>
        <w:br/>
      </w:r>
    </w:p>
    <w:p>
      <w:pPr>
        <w:pStyle w:val="null3"/>
        <w:jc w:val="center"/>
        <w:outlineLvl w:val="2"/>
      </w:pPr>
      <w:r>
        <w:rPr>
          <w:rFonts w:ascii="仿宋_GB2312" w:hAnsi="仿宋_GB2312" w:cs="仿宋_GB2312" w:eastAsia="仿宋_GB2312"/>
          <w:sz w:val="28"/>
          <w:b/>
        </w:rPr>
        <w:t>丝博会执委会</w:t>
      </w:r>
    </w:p>
    <w:p>
      <w:pPr>
        <w:pStyle w:val="null3"/>
        <w:jc w:val="center"/>
        <w:outlineLvl w:val="2"/>
      </w:pPr>
      <w:r>
        <w:rPr>
          <w:rFonts w:ascii="仿宋_GB2312" w:hAnsi="仿宋_GB2312" w:cs="仿宋_GB2312" w:eastAsia="仿宋_GB2312"/>
          <w:sz w:val="28"/>
          <w:b/>
        </w:rPr>
        <w:t>陕西省采购招标有限责任公司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2025年05月07日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陕西省采购招标有限责任公司</w:t>
      </w:r>
      <w:r>
        <w:rPr>
          <w:rFonts w:ascii="仿宋_GB2312" w:hAnsi="仿宋_GB2312" w:cs="仿宋_GB2312" w:eastAsia="仿宋_GB2312"/>
        </w:rPr>
        <w:t>（以下简称“代理机构”）受</w:t>
      </w:r>
      <w:r>
        <w:rPr>
          <w:rFonts w:ascii="仿宋_GB2312" w:hAnsi="仿宋_GB2312" w:cs="仿宋_GB2312" w:eastAsia="仿宋_GB2312"/>
        </w:rPr>
        <w:t>丝博会执委会</w:t>
      </w:r>
      <w:r>
        <w:rPr>
          <w:rFonts w:ascii="仿宋_GB2312" w:hAnsi="仿宋_GB2312" w:cs="仿宋_GB2312" w:eastAsia="仿宋_GB2312"/>
        </w:rPr>
        <w:t>委托，拟对</w:t>
      </w:r>
      <w:r>
        <w:rPr>
          <w:rFonts w:ascii="仿宋_GB2312" w:hAnsi="仿宋_GB2312" w:cs="仿宋_GB2312" w:eastAsia="仿宋_GB2312"/>
        </w:rPr>
        <w:t>第九届丝博会综合服务项目线上丝博会(二次)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SCZA2025-CS-0900-001R</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第九届丝博会综合服务项目线上丝博会(二次)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第九届丝博会综合服务项目线上丝博会</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1、供应商特定资格条件：供应商在递交响应文件截止时间前被“信用中国 ”网站（www.creditchina.gov.cn）和中国政 府采购网（www.ccgp.gov.cn）上被列入失信 被执行人、重大税收违法失信主体、政府采购严重违法失信行为记录名单的，不得参加磋商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丝博会执委会</w:t>
      </w:r>
    </w:p>
    <w:p>
      <w:pPr>
        <w:pStyle w:val="null3"/>
      </w:pPr>
      <w:r>
        <w:rPr>
          <w:rFonts w:ascii="仿宋_GB2312" w:hAnsi="仿宋_GB2312" w:cs="仿宋_GB2312" w:eastAsia="仿宋_GB2312"/>
        </w:rPr>
        <w:t xml:space="preserve"> 地址： </w:t>
      </w:r>
      <w:r>
        <w:rPr>
          <w:rFonts w:ascii="仿宋_GB2312" w:hAnsi="仿宋_GB2312" w:cs="仿宋_GB2312" w:eastAsia="仿宋_GB2312"/>
        </w:rPr>
        <w:t>新城大院</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马老师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029-63913862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陕西省采购招标有限责任公司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西安市高新区锦业一路都市之门C座9层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马亚敏、张媛</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029-85266644</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采购包1：2,960,000.00元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采购包1保证金金额：50,000.00元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开户名称：陕西省采购招标有限责任公司</w:t>
            </w:r>
          </w:p>
          <w:p>
            <w:pPr>
              <w:pStyle w:val="null3"/>
            </w:pPr>
            <w:r>
              <w:rPr>
                <w:rFonts w:ascii="仿宋_GB2312" w:hAnsi="仿宋_GB2312" w:cs="仿宋_GB2312" w:eastAsia="仿宋_GB2312"/>
              </w:rPr>
              <w:t>开户银行：中国银行西安南郊支行营业部</w:t>
            </w:r>
          </w:p>
          <w:p>
            <w:pPr>
              <w:pStyle w:val="null3"/>
            </w:pPr>
            <w:r>
              <w:rPr>
                <w:rFonts w:ascii="仿宋_GB2312" w:hAnsi="仿宋_GB2312" w:cs="仿宋_GB2312" w:eastAsia="仿宋_GB2312"/>
              </w:rPr>
              <w:t>银行账号：102862459437</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60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成交供应商在领取成交通知书前，须向采购代理机构支付成交服务费，服务费由采购人与采购代理机构约定：（参照原国家计委计价格〔2002〕1980号文和国家发改委发改办价格〔2003〕857号文的计算方法收取（按标准）。2.成交单位的代理服务费交纳信息 银行户名：陕西省采购招标有限责任公司 开户银行：中国光大银行西安友谊路支行 账号：78560188000095264 联系人：财务部 联系电话：029-85263975</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丝博会执委会</w:t>
      </w:r>
      <w:r>
        <w:rPr>
          <w:rFonts w:ascii="仿宋_GB2312" w:hAnsi="仿宋_GB2312" w:cs="仿宋_GB2312" w:eastAsia="仿宋_GB2312"/>
        </w:rPr>
        <w:t>和</w:t>
      </w:r>
      <w:r>
        <w:rPr>
          <w:rFonts w:ascii="仿宋_GB2312" w:hAnsi="仿宋_GB2312" w:cs="仿宋_GB2312" w:eastAsia="仿宋_GB2312"/>
        </w:rPr>
        <w:t>陕西省采购招标有限责任公司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丝博会执委会</w:t>
      </w:r>
      <w:r>
        <w:rPr>
          <w:rFonts w:ascii="仿宋_GB2312" w:hAnsi="仿宋_GB2312" w:cs="仿宋_GB2312" w:eastAsia="仿宋_GB2312"/>
        </w:rPr>
        <w:t>负责解释。除上述磋商文件内容，其他内容由</w:t>
      </w:r>
      <w:r>
        <w:rPr>
          <w:rFonts w:ascii="仿宋_GB2312" w:hAnsi="仿宋_GB2312" w:cs="仿宋_GB2312" w:eastAsia="仿宋_GB2312"/>
        </w:rPr>
        <w:t>陕西省采购招标有限责任公司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丝博会执委会</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陕西省采购招标有限责任公司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按合同约定执行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联系人：综合办公室</w:t>
      </w:r>
    </w:p>
    <w:p>
      <w:pPr>
        <w:pStyle w:val="null3"/>
      </w:pPr>
      <w:r>
        <w:rPr>
          <w:rFonts w:ascii="仿宋_GB2312" w:hAnsi="仿宋_GB2312" w:cs="仿宋_GB2312" w:eastAsia="仿宋_GB2312"/>
        </w:rPr>
        <w:t>联系电话：029-85235014</w:t>
      </w:r>
    </w:p>
    <w:p>
      <w:pPr>
        <w:pStyle w:val="null3"/>
      </w:pPr>
      <w:r>
        <w:rPr>
          <w:rFonts w:ascii="仿宋_GB2312" w:hAnsi="仿宋_GB2312" w:cs="仿宋_GB2312" w:eastAsia="仿宋_GB2312"/>
        </w:rPr>
        <w:t>地址：西安市高新区锦业一路都市之门C座9层</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第九届丝博会综合服务项目线上丝博会</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2,960,000.00</w:t>
      </w:r>
    </w:p>
    <w:p>
      <w:pPr>
        <w:pStyle w:val="null3"/>
      </w:pPr>
      <w:r>
        <w:rPr>
          <w:rFonts w:ascii="仿宋_GB2312" w:hAnsi="仿宋_GB2312" w:cs="仿宋_GB2312" w:eastAsia="仿宋_GB2312"/>
        </w:rPr>
        <w:t>采购包最高限价（元）: 2,960,000.00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第九届丝博会综合服务项目线上丝博会</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2,960,000.00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标的名称：第九届丝博会综合服务项目线上丝博会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0"/>
              </w:rPr>
              <w:t>一、</w:t>
            </w:r>
            <w:r>
              <w:rPr>
                <w:rFonts w:ascii="仿宋_GB2312" w:hAnsi="仿宋_GB2312" w:cs="仿宋_GB2312" w:eastAsia="仿宋_GB2312"/>
                <w:sz w:val="20"/>
              </w:rPr>
              <w:t>项目名称</w:t>
            </w:r>
          </w:p>
          <w:p>
            <w:pPr>
              <w:pStyle w:val="null3"/>
              <w:jc w:val="both"/>
            </w:pPr>
            <w:r>
              <w:rPr>
                <w:rFonts w:ascii="仿宋_GB2312" w:hAnsi="仿宋_GB2312" w:cs="仿宋_GB2312" w:eastAsia="仿宋_GB2312"/>
                <w:sz w:val="20"/>
              </w:rPr>
              <w:t>第</w:t>
            </w:r>
            <w:r>
              <w:rPr>
                <w:rFonts w:ascii="仿宋_GB2312" w:hAnsi="仿宋_GB2312" w:cs="仿宋_GB2312" w:eastAsia="仿宋_GB2312"/>
                <w:sz w:val="20"/>
              </w:rPr>
              <w:t>九</w:t>
            </w:r>
            <w:r>
              <w:rPr>
                <w:rFonts w:ascii="仿宋_GB2312" w:hAnsi="仿宋_GB2312" w:cs="仿宋_GB2312" w:eastAsia="仿宋_GB2312"/>
                <w:sz w:val="20"/>
              </w:rPr>
              <w:t>届丝绸之路国际博览会暨中国东西部合作与投资贸易洽谈会（</w:t>
            </w:r>
            <w:r>
              <w:rPr>
                <w:rFonts w:ascii="仿宋_GB2312" w:hAnsi="仿宋_GB2312" w:cs="仿宋_GB2312" w:eastAsia="仿宋_GB2312"/>
                <w:sz w:val="20"/>
              </w:rPr>
              <w:t>简称</w:t>
            </w:r>
            <w:r>
              <w:rPr>
                <w:rFonts w:ascii="仿宋_GB2312" w:hAnsi="仿宋_GB2312" w:cs="仿宋_GB2312" w:eastAsia="仿宋_GB2312"/>
                <w:sz w:val="20"/>
              </w:rPr>
              <w:t>:</w:t>
            </w:r>
            <w:r>
              <w:rPr>
                <w:rFonts w:ascii="仿宋_GB2312" w:hAnsi="仿宋_GB2312" w:cs="仿宋_GB2312" w:eastAsia="仿宋_GB2312"/>
                <w:sz w:val="20"/>
              </w:rPr>
              <w:t>第九届</w:t>
            </w:r>
            <w:r>
              <w:rPr>
                <w:rFonts w:ascii="仿宋_GB2312" w:hAnsi="仿宋_GB2312" w:cs="仿宋_GB2312" w:eastAsia="仿宋_GB2312"/>
                <w:sz w:val="20"/>
              </w:rPr>
              <w:t>丝博</w:t>
            </w:r>
            <w:r>
              <w:rPr>
                <w:rFonts w:ascii="仿宋_GB2312" w:hAnsi="仿宋_GB2312" w:cs="仿宋_GB2312" w:eastAsia="仿宋_GB2312"/>
                <w:sz w:val="20"/>
              </w:rPr>
              <w:t>会</w:t>
            </w:r>
            <w:r>
              <w:rPr>
                <w:rFonts w:ascii="仿宋_GB2312" w:hAnsi="仿宋_GB2312" w:cs="仿宋_GB2312" w:eastAsia="仿宋_GB2312"/>
                <w:sz w:val="20"/>
              </w:rPr>
              <w:t>）综合服务</w:t>
            </w:r>
            <w:r>
              <w:rPr>
                <w:rFonts w:ascii="仿宋_GB2312" w:hAnsi="仿宋_GB2312" w:cs="仿宋_GB2312" w:eastAsia="仿宋_GB2312"/>
                <w:sz w:val="20"/>
              </w:rPr>
              <w:t>项目</w:t>
            </w:r>
            <w:r>
              <w:rPr>
                <w:rFonts w:ascii="仿宋_GB2312" w:hAnsi="仿宋_GB2312" w:cs="仿宋_GB2312" w:eastAsia="仿宋_GB2312"/>
                <w:sz w:val="20"/>
              </w:rPr>
              <w:t>线上丝博会</w:t>
            </w:r>
          </w:p>
          <w:p>
            <w:pPr>
              <w:pStyle w:val="null3"/>
              <w:jc w:val="both"/>
            </w:pPr>
            <w:r>
              <w:rPr>
                <w:rFonts w:ascii="仿宋_GB2312" w:hAnsi="仿宋_GB2312" w:cs="仿宋_GB2312" w:eastAsia="仿宋_GB2312"/>
                <w:sz w:val="20"/>
              </w:rPr>
              <w:t>二、项目要求时间</w:t>
            </w:r>
          </w:p>
          <w:p>
            <w:pPr>
              <w:pStyle w:val="null3"/>
              <w:jc w:val="both"/>
            </w:pPr>
            <w:r>
              <w:rPr>
                <w:rFonts w:ascii="仿宋_GB2312" w:hAnsi="仿宋_GB2312" w:cs="仿宋_GB2312" w:eastAsia="仿宋_GB2312"/>
                <w:sz w:val="20"/>
              </w:rPr>
              <w:t>丝博</w:t>
            </w:r>
            <w:r>
              <w:rPr>
                <w:rFonts w:ascii="仿宋_GB2312" w:hAnsi="仿宋_GB2312" w:cs="仿宋_GB2312" w:eastAsia="仿宋_GB2312"/>
                <w:sz w:val="20"/>
              </w:rPr>
              <w:t>会时间</w:t>
            </w:r>
            <w:r>
              <w:rPr>
                <w:rFonts w:ascii="仿宋_GB2312" w:hAnsi="仿宋_GB2312" w:cs="仿宋_GB2312" w:eastAsia="仿宋_GB2312"/>
                <w:sz w:val="20"/>
              </w:rPr>
              <w:t>:202</w:t>
            </w:r>
            <w:r>
              <w:rPr>
                <w:rFonts w:ascii="仿宋_GB2312" w:hAnsi="仿宋_GB2312" w:cs="仿宋_GB2312" w:eastAsia="仿宋_GB2312"/>
                <w:sz w:val="20"/>
              </w:rPr>
              <w:t>5</w:t>
            </w:r>
            <w:r>
              <w:rPr>
                <w:rFonts w:ascii="仿宋_GB2312" w:hAnsi="仿宋_GB2312" w:cs="仿宋_GB2312" w:eastAsia="仿宋_GB2312"/>
                <w:sz w:val="20"/>
              </w:rPr>
              <w:t>年</w:t>
            </w:r>
            <w:r>
              <w:rPr>
                <w:rFonts w:ascii="仿宋_GB2312" w:hAnsi="仿宋_GB2312" w:cs="仿宋_GB2312" w:eastAsia="仿宋_GB2312"/>
                <w:sz w:val="20"/>
              </w:rPr>
              <w:t>5</w:t>
            </w:r>
            <w:r>
              <w:rPr>
                <w:rFonts w:ascii="仿宋_GB2312" w:hAnsi="仿宋_GB2312" w:cs="仿宋_GB2312" w:eastAsia="仿宋_GB2312"/>
                <w:sz w:val="20"/>
              </w:rPr>
              <w:t>月</w:t>
            </w:r>
            <w:r>
              <w:rPr>
                <w:rFonts w:ascii="仿宋_GB2312" w:hAnsi="仿宋_GB2312" w:cs="仿宋_GB2312" w:eastAsia="仿宋_GB2312"/>
                <w:sz w:val="20"/>
              </w:rPr>
              <w:t>21</w:t>
            </w:r>
            <w:r>
              <w:rPr>
                <w:rFonts w:ascii="仿宋_GB2312" w:hAnsi="仿宋_GB2312" w:cs="仿宋_GB2312" w:eastAsia="仿宋_GB2312"/>
                <w:sz w:val="20"/>
              </w:rPr>
              <w:t>日</w:t>
            </w:r>
            <w:r>
              <w:rPr>
                <w:rFonts w:ascii="仿宋_GB2312" w:hAnsi="仿宋_GB2312" w:cs="仿宋_GB2312" w:eastAsia="仿宋_GB2312"/>
                <w:sz w:val="20"/>
              </w:rPr>
              <w:t>-</w:t>
            </w:r>
            <w:r>
              <w:rPr>
                <w:rFonts w:ascii="仿宋_GB2312" w:hAnsi="仿宋_GB2312" w:cs="仿宋_GB2312" w:eastAsia="仿宋_GB2312"/>
                <w:sz w:val="20"/>
              </w:rPr>
              <w:t>25</w:t>
            </w:r>
            <w:r>
              <w:rPr>
                <w:rFonts w:ascii="仿宋_GB2312" w:hAnsi="仿宋_GB2312" w:cs="仿宋_GB2312" w:eastAsia="仿宋_GB2312"/>
                <w:sz w:val="20"/>
              </w:rPr>
              <w:t>日，时间</w:t>
            </w:r>
            <w:r>
              <w:rPr>
                <w:rFonts w:ascii="仿宋_GB2312" w:hAnsi="仿宋_GB2312" w:cs="仿宋_GB2312" w:eastAsia="仿宋_GB2312"/>
                <w:sz w:val="20"/>
              </w:rPr>
              <w:t>5天。</w:t>
            </w:r>
          </w:p>
          <w:p>
            <w:pPr>
              <w:pStyle w:val="null3"/>
              <w:jc w:val="both"/>
            </w:pPr>
            <w:r>
              <w:rPr>
                <w:rFonts w:ascii="仿宋_GB2312" w:hAnsi="仿宋_GB2312" w:cs="仿宋_GB2312" w:eastAsia="仿宋_GB2312"/>
                <w:sz w:val="20"/>
              </w:rPr>
              <w:t>三、</w:t>
            </w:r>
            <w:r>
              <w:rPr>
                <w:rFonts w:ascii="仿宋_GB2312" w:hAnsi="仿宋_GB2312" w:cs="仿宋_GB2312" w:eastAsia="仿宋_GB2312"/>
                <w:sz w:val="20"/>
              </w:rPr>
              <w:t>活动主要地址</w:t>
            </w:r>
          </w:p>
          <w:p>
            <w:pPr>
              <w:pStyle w:val="null3"/>
              <w:jc w:val="both"/>
            </w:pPr>
            <w:r>
              <w:rPr>
                <w:rFonts w:ascii="仿宋_GB2312" w:hAnsi="仿宋_GB2312" w:cs="仿宋_GB2312" w:eastAsia="仿宋_GB2312"/>
                <w:sz w:val="20"/>
              </w:rPr>
              <w:t>西安国际会展中心展览馆、会议楼（陕西省西安市灞桥区会展一路</w:t>
            </w:r>
            <w:r>
              <w:rPr>
                <w:rFonts w:ascii="仿宋_GB2312" w:hAnsi="仿宋_GB2312" w:cs="仿宋_GB2312" w:eastAsia="仿宋_GB2312"/>
                <w:sz w:val="20"/>
              </w:rPr>
              <w:t>1399号</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四、项目设置</w:t>
            </w:r>
          </w:p>
          <w:p>
            <w:pPr>
              <w:pStyle w:val="null3"/>
              <w:jc w:val="both"/>
            </w:pPr>
            <w:r>
              <w:rPr>
                <w:rFonts w:ascii="仿宋_GB2312" w:hAnsi="仿宋_GB2312" w:cs="仿宋_GB2312" w:eastAsia="仿宋_GB2312"/>
                <w:sz w:val="20"/>
              </w:rPr>
              <w:t>（一）</w:t>
            </w:r>
            <w:r>
              <w:rPr>
                <w:rFonts w:ascii="仿宋_GB2312" w:hAnsi="仿宋_GB2312" w:cs="仿宋_GB2312" w:eastAsia="仿宋_GB2312"/>
                <w:sz w:val="20"/>
              </w:rPr>
              <w:t>丝博会线上平台</w:t>
            </w:r>
            <w:r>
              <w:rPr>
                <w:rFonts w:ascii="仿宋_GB2312" w:hAnsi="仿宋_GB2312" w:cs="仿宋_GB2312" w:eastAsia="仿宋_GB2312"/>
                <w:sz w:val="20"/>
              </w:rPr>
              <w:t>运营工作内容</w:t>
            </w:r>
          </w:p>
          <w:p>
            <w:pPr>
              <w:pStyle w:val="null3"/>
              <w:jc w:val="both"/>
            </w:pPr>
            <w:r>
              <w:rPr>
                <w:rFonts w:ascii="仿宋_GB2312" w:hAnsi="仿宋_GB2312" w:cs="仿宋_GB2312" w:eastAsia="仿宋_GB2312"/>
                <w:sz w:val="20"/>
              </w:rPr>
              <w:t>丝博会数字化平台是陕西会展云平台的基础性平台</w:t>
            </w:r>
            <w:r>
              <w:rPr>
                <w:rFonts w:ascii="仿宋_GB2312" w:hAnsi="仿宋_GB2312" w:cs="仿宋_GB2312" w:eastAsia="仿宋_GB2312"/>
                <w:sz w:val="20"/>
              </w:rPr>
              <w:t>。具体要求如下：</w:t>
            </w:r>
          </w:p>
          <w:p>
            <w:pPr>
              <w:pStyle w:val="null3"/>
              <w:jc w:val="both"/>
            </w:pPr>
            <w:r>
              <w:rPr>
                <w:rFonts w:ascii="仿宋_GB2312" w:hAnsi="仿宋_GB2312" w:cs="仿宋_GB2312" w:eastAsia="仿宋_GB2312"/>
                <w:sz w:val="20"/>
              </w:rPr>
              <w:t>1.丝博会线上</w:t>
            </w:r>
            <w:r>
              <w:rPr>
                <w:rFonts w:ascii="仿宋_GB2312" w:hAnsi="仿宋_GB2312" w:cs="仿宋_GB2312" w:eastAsia="仿宋_GB2312"/>
                <w:sz w:val="20"/>
              </w:rPr>
              <w:t>综合管理</w:t>
            </w:r>
            <w:r>
              <w:rPr>
                <w:rFonts w:ascii="仿宋_GB2312" w:hAnsi="仿宋_GB2312" w:cs="仿宋_GB2312" w:eastAsia="仿宋_GB2312"/>
                <w:sz w:val="20"/>
              </w:rPr>
              <w:t>平台功能。</w:t>
            </w:r>
            <w:r>
              <w:rPr>
                <w:rFonts w:ascii="仿宋_GB2312" w:hAnsi="仿宋_GB2312" w:cs="仿宋_GB2312" w:eastAsia="仿宋_GB2312"/>
                <w:sz w:val="20"/>
              </w:rPr>
              <w:t>包括</w:t>
            </w:r>
            <w:r>
              <w:rPr>
                <w:rFonts w:ascii="仿宋_GB2312" w:hAnsi="仿宋_GB2312" w:cs="仿宋_GB2312" w:eastAsia="仿宋_GB2312"/>
                <w:sz w:val="20"/>
              </w:rPr>
              <w:t>丝博会及</w:t>
            </w:r>
            <w:r>
              <w:rPr>
                <w:rFonts w:ascii="仿宋_GB2312" w:hAnsi="仿宋_GB2312" w:cs="仿宋_GB2312" w:eastAsia="仿宋_GB2312"/>
                <w:sz w:val="20"/>
              </w:rPr>
              <w:t>全省会展形象展示</w:t>
            </w:r>
            <w:r>
              <w:rPr>
                <w:rFonts w:ascii="仿宋_GB2312" w:hAnsi="仿宋_GB2312" w:cs="仿宋_GB2312" w:eastAsia="仿宋_GB2312"/>
                <w:sz w:val="20"/>
              </w:rPr>
              <w:t>、数据统计、</w:t>
            </w:r>
            <w:r>
              <w:rPr>
                <w:rFonts w:ascii="仿宋_GB2312" w:hAnsi="仿宋_GB2312" w:cs="仿宋_GB2312" w:eastAsia="仿宋_GB2312"/>
                <w:sz w:val="20"/>
              </w:rPr>
              <w:t>展会数据资产管理等。</w:t>
            </w:r>
            <w:r>
              <w:rPr>
                <w:rFonts w:ascii="仿宋_GB2312" w:hAnsi="仿宋_GB2312" w:cs="仿宋_GB2312" w:eastAsia="仿宋_GB2312"/>
                <w:sz w:val="20"/>
              </w:rPr>
              <w:t>特别是</w:t>
            </w:r>
            <w:r>
              <w:rPr>
                <w:rFonts w:ascii="仿宋_GB2312" w:hAnsi="仿宋_GB2312" w:cs="仿宋_GB2312" w:eastAsia="仿宋_GB2312"/>
                <w:sz w:val="20"/>
              </w:rPr>
              <w:t>丝博会</w:t>
            </w:r>
            <w:r>
              <w:rPr>
                <w:rFonts w:ascii="仿宋_GB2312" w:hAnsi="仿宋_GB2312" w:cs="仿宋_GB2312" w:eastAsia="仿宋_GB2312"/>
                <w:sz w:val="20"/>
              </w:rPr>
              <w:t>参展企业形象展示、展会行业大数据分析、政策导引、国际热点展会和短视频、视频直播互动等功能。通过搭建在西安国际会展中心的</w:t>
            </w:r>
            <w:r>
              <w:rPr>
                <w:rFonts w:ascii="仿宋_GB2312" w:hAnsi="仿宋_GB2312" w:cs="仿宋_GB2312" w:eastAsia="仿宋_GB2312"/>
                <w:sz w:val="20"/>
              </w:rPr>
              <w:t>LED电子大屏，实时发布丝博会及全省会展行业动态，接入国内展会平台门户网站数据，拓展会展数据采集范围，通过微信公众号、短信平台定时为往届来陕参会的参展商、专业观众推送陕西展会最新动态，同时开发web端应用，包括丝博会线上平台升级为全省会展云平台设计方案。</w:t>
            </w:r>
          </w:p>
          <w:p>
            <w:pPr>
              <w:pStyle w:val="null3"/>
              <w:jc w:val="both"/>
            </w:pPr>
            <w:r>
              <w:rPr>
                <w:rFonts w:ascii="仿宋_GB2312" w:hAnsi="仿宋_GB2312" w:cs="仿宋_GB2312" w:eastAsia="仿宋_GB2312"/>
                <w:sz w:val="20"/>
              </w:rPr>
              <w:t>2.</w:t>
            </w:r>
            <w:r>
              <w:rPr>
                <w:rFonts w:ascii="仿宋_GB2312" w:hAnsi="仿宋_GB2312" w:cs="仿宋_GB2312" w:eastAsia="仿宋_GB2312"/>
                <w:sz w:val="20"/>
              </w:rPr>
              <w:t>丝博会官网功能。宣传介绍</w:t>
            </w:r>
            <w:r>
              <w:rPr>
                <w:rFonts w:ascii="仿宋_GB2312" w:hAnsi="仿宋_GB2312" w:cs="仿宋_GB2312" w:eastAsia="仿宋_GB2312"/>
                <w:sz w:val="20"/>
              </w:rPr>
              <w:t>丝博会历史沿革、主旨定位和重大活动等，实时更新推送第九届丝博会进程信息</w:t>
            </w:r>
            <w:r>
              <w:rPr>
                <w:rFonts w:ascii="仿宋_GB2312" w:hAnsi="仿宋_GB2312" w:cs="仿宋_GB2312" w:eastAsia="仿宋_GB2312"/>
                <w:sz w:val="20"/>
              </w:rPr>
              <w:t>，</w:t>
            </w:r>
            <w:r>
              <w:rPr>
                <w:rFonts w:ascii="仿宋_GB2312" w:hAnsi="仿宋_GB2312" w:cs="仿宋_GB2312" w:eastAsia="仿宋_GB2312"/>
                <w:sz w:val="20"/>
              </w:rPr>
              <w:t>全方位介绍第九届丝博会参展商家、参展商品。</w:t>
            </w:r>
            <w:r>
              <w:rPr>
                <w:rFonts w:ascii="仿宋_GB2312" w:hAnsi="仿宋_GB2312" w:cs="仿宋_GB2312" w:eastAsia="仿宋_GB2312"/>
                <w:sz w:val="20"/>
              </w:rPr>
              <w:t>提供丝博会</w:t>
            </w:r>
            <w:r>
              <w:rPr>
                <w:rFonts w:ascii="仿宋_GB2312" w:hAnsi="仿宋_GB2312" w:cs="仿宋_GB2312" w:eastAsia="仿宋_GB2312"/>
                <w:sz w:val="20"/>
              </w:rPr>
              <w:t>一体化参会参展</w:t>
            </w:r>
            <w:r>
              <w:rPr>
                <w:rFonts w:ascii="仿宋_GB2312" w:hAnsi="仿宋_GB2312" w:cs="仿宋_GB2312" w:eastAsia="仿宋_GB2312"/>
                <w:sz w:val="20"/>
              </w:rPr>
              <w:t>、</w:t>
            </w:r>
            <w:r>
              <w:rPr>
                <w:rFonts w:ascii="仿宋_GB2312" w:hAnsi="仿宋_GB2312" w:cs="仿宋_GB2312" w:eastAsia="仿宋_GB2312"/>
                <w:sz w:val="20"/>
              </w:rPr>
              <w:t>商品</w:t>
            </w:r>
            <w:r>
              <w:rPr>
                <w:rFonts w:ascii="仿宋_GB2312" w:hAnsi="仿宋_GB2312" w:cs="仿宋_GB2312" w:eastAsia="仿宋_GB2312"/>
                <w:sz w:val="20"/>
              </w:rPr>
              <w:t>交易</w:t>
            </w:r>
            <w:r>
              <w:rPr>
                <w:rFonts w:ascii="仿宋_GB2312" w:hAnsi="仿宋_GB2312" w:cs="仿宋_GB2312" w:eastAsia="仿宋_GB2312"/>
                <w:sz w:val="20"/>
              </w:rPr>
              <w:t>、</w:t>
            </w:r>
            <w:r>
              <w:rPr>
                <w:rFonts w:ascii="仿宋_GB2312" w:hAnsi="仿宋_GB2312" w:cs="仿宋_GB2312" w:eastAsia="仿宋_GB2312"/>
                <w:sz w:val="20"/>
              </w:rPr>
              <w:t>预约</w:t>
            </w:r>
            <w:r>
              <w:rPr>
                <w:rFonts w:ascii="仿宋_GB2312" w:hAnsi="仿宋_GB2312" w:cs="仿宋_GB2312" w:eastAsia="仿宋_GB2312"/>
                <w:sz w:val="20"/>
              </w:rPr>
              <w:t>洽谈</w:t>
            </w:r>
            <w:r>
              <w:rPr>
                <w:rFonts w:ascii="仿宋_GB2312" w:hAnsi="仿宋_GB2312" w:cs="仿宋_GB2312" w:eastAsia="仿宋_GB2312"/>
                <w:sz w:val="20"/>
              </w:rPr>
              <w:t>等</w:t>
            </w:r>
            <w:r>
              <w:rPr>
                <w:rFonts w:ascii="仿宋_GB2312" w:hAnsi="仿宋_GB2312" w:cs="仿宋_GB2312" w:eastAsia="仿宋_GB2312"/>
                <w:sz w:val="20"/>
              </w:rPr>
              <w:t>综合服务，建设参展、参观、交易、洽谈、注册管理中心。</w:t>
            </w:r>
            <w:r>
              <w:rPr>
                <w:rFonts w:ascii="仿宋_GB2312" w:hAnsi="仿宋_GB2312" w:cs="仿宋_GB2312" w:eastAsia="仿宋_GB2312"/>
                <w:sz w:val="20"/>
              </w:rPr>
              <w:t>接入</w:t>
            </w:r>
            <w:r>
              <w:rPr>
                <w:rFonts w:ascii="仿宋_GB2312" w:hAnsi="仿宋_GB2312" w:cs="仿宋_GB2312" w:eastAsia="仿宋_GB2312"/>
                <w:sz w:val="20"/>
              </w:rPr>
              <w:t>AI客服、全景展示功能，</w:t>
            </w:r>
            <w:r>
              <w:rPr>
                <w:rFonts w:ascii="仿宋_GB2312" w:hAnsi="仿宋_GB2312" w:cs="仿宋_GB2312" w:eastAsia="仿宋_GB2312"/>
                <w:sz w:val="20"/>
              </w:rPr>
              <w:t>优化采购商、参展商和专业观众</w:t>
            </w:r>
            <w:r>
              <w:rPr>
                <w:rFonts w:ascii="仿宋_GB2312" w:hAnsi="仿宋_GB2312" w:cs="仿宋_GB2312" w:eastAsia="仿宋_GB2312"/>
                <w:sz w:val="20"/>
              </w:rPr>
              <w:t>参会</w:t>
            </w:r>
            <w:r>
              <w:rPr>
                <w:rFonts w:ascii="仿宋_GB2312" w:hAnsi="仿宋_GB2312" w:cs="仿宋_GB2312" w:eastAsia="仿宋_GB2312"/>
                <w:sz w:val="20"/>
              </w:rPr>
              <w:t>体验。</w:t>
            </w:r>
          </w:p>
          <w:p>
            <w:pPr>
              <w:pStyle w:val="null3"/>
              <w:jc w:val="both"/>
            </w:pPr>
            <w:r>
              <w:rPr>
                <w:rFonts w:ascii="仿宋_GB2312" w:hAnsi="仿宋_GB2312" w:cs="仿宋_GB2312" w:eastAsia="仿宋_GB2312"/>
                <w:sz w:val="20"/>
              </w:rPr>
              <w:t>3.</w:t>
            </w:r>
            <w:r>
              <w:rPr>
                <w:rFonts w:ascii="仿宋_GB2312" w:hAnsi="仿宋_GB2312" w:cs="仿宋_GB2312" w:eastAsia="仿宋_GB2312"/>
                <w:sz w:val="20"/>
              </w:rPr>
              <w:t>提供平台安全性方案和运行维护服务方案，满足稳定性、实用性、开放性、易拓展性、安全保密性等要求，并做好平台日常维护常态运营和应急突发事件响应。</w:t>
            </w:r>
          </w:p>
          <w:p>
            <w:pPr>
              <w:pStyle w:val="null3"/>
              <w:jc w:val="both"/>
            </w:pPr>
            <w:r>
              <w:rPr>
                <w:rFonts w:ascii="仿宋_GB2312" w:hAnsi="仿宋_GB2312" w:cs="仿宋_GB2312" w:eastAsia="仿宋_GB2312"/>
                <w:sz w:val="20"/>
              </w:rPr>
              <w:t>（二）</w:t>
            </w:r>
            <w:r>
              <w:rPr>
                <w:rFonts w:ascii="仿宋_GB2312" w:hAnsi="仿宋_GB2312" w:cs="仿宋_GB2312" w:eastAsia="仿宋_GB2312"/>
                <w:sz w:val="20"/>
              </w:rPr>
              <w:t>证件及</w:t>
            </w:r>
            <w:r>
              <w:rPr>
                <w:rFonts w:ascii="仿宋_GB2312" w:hAnsi="仿宋_GB2312" w:cs="仿宋_GB2312" w:eastAsia="仿宋_GB2312"/>
                <w:sz w:val="20"/>
              </w:rPr>
              <w:t>出入</w:t>
            </w:r>
            <w:r>
              <w:rPr>
                <w:rFonts w:ascii="仿宋_GB2312" w:hAnsi="仿宋_GB2312" w:cs="仿宋_GB2312" w:eastAsia="仿宋_GB2312"/>
                <w:sz w:val="20"/>
              </w:rPr>
              <w:t>管理</w:t>
            </w:r>
          </w:p>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负责证件设计制作、管理及发放工作。</w:t>
            </w:r>
          </w:p>
          <w:p>
            <w:pPr>
              <w:pStyle w:val="null3"/>
              <w:jc w:val="both"/>
            </w:pPr>
            <w:r>
              <w:rPr>
                <w:rFonts w:ascii="仿宋_GB2312" w:hAnsi="仿宋_GB2312" w:cs="仿宋_GB2312" w:eastAsia="仿宋_GB2312"/>
                <w:sz w:val="20"/>
              </w:rPr>
              <w:t>2.</w:t>
            </w:r>
            <w:r>
              <w:rPr>
                <w:rFonts w:ascii="仿宋_GB2312" w:hAnsi="仿宋_GB2312" w:cs="仿宋_GB2312" w:eastAsia="仿宋_GB2312"/>
                <w:sz w:val="20"/>
              </w:rPr>
              <w:t>门禁通道分类检验，分设普通观众通道、持证通道和贵宾通道，通道数量依实际需求增减。</w:t>
            </w:r>
          </w:p>
          <w:p>
            <w:pPr>
              <w:pStyle w:val="null3"/>
              <w:jc w:val="both"/>
            </w:pPr>
            <w:r>
              <w:rPr>
                <w:rFonts w:ascii="仿宋_GB2312" w:hAnsi="仿宋_GB2312" w:cs="仿宋_GB2312" w:eastAsia="仿宋_GB2312"/>
                <w:sz w:val="20"/>
              </w:rPr>
              <w:t>（三）统</w:t>
            </w:r>
            <w:r>
              <w:rPr>
                <w:rFonts w:ascii="仿宋_GB2312" w:hAnsi="仿宋_GB2312" w:cs="仿宋_GB2312" w:eastAsia="仿宋_GB2312"/>
                <w:sz w:val="20"/>
              </w:rPr>
              <w:t>筹</w:t>
            </w:r>
            <w:r>
              <w:rPr>
                <w:rFonts w:ascii="仿宋_GB2312" w:hAnsi="仿宋_GB2312" w:cs="仿宋_GB2312" w:eastAsia="仿宋_GB2312"/>
                <w:sz w:val="20"/>
              </w:rPr>
              <w:t>第九届丝博会招商招展及服务工作</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0"/>
              </w:rPr>
              <w:t>（四）广告招商、品牌运营</w:t>
            </w:r>
          </w:p>
          <w:p>
            <w:pPr>
              <w:pStyle w:val="null3"/>
              <w:jc w:val="both"/>
            </w:pPr>
            <w:r>
              <w:rPr>
                <w:rFonts w:ascii="仿宋_GB2312" w:hAnsi="仿宋_GB2312" w:cs="仿宋_GB2312" w:eastAsia="仿宋_GB2312"/>
                <w:sz w:val="20"/>
              </w:rPr>
              <w:t>根据执委会要求具体工作如下：</w:t>
            </w:r>
          </w:p>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w:t>
            </w:r>
            <w:r>
              <w:rPr>
                <w:rFonts w:ascii="仿宋_GB2312" w:hAnsi="仿宋_GB2312" w:cs="仿宋_GB2312" w:eastAsia="仿宋_GB2312"/>
                <w:sz w:val="20"/>
              </w:rPr>
              <w:t>市场化广告招商、产品冠名、赞助和指定用品的业务开发和落实；</w:t>
            </w:r>
          </w:p>
          <w:p>
            <w:pPr>
              <w:pStyle w:val="null3"/>
              <w:jc w:val="both"/>
            </w:pPr>
            <w:r>
              <w:rPr>
                <w:rFonts w:ascii="仿宋_GB2312" w:hAnsi="仿宋_GB2312" w:cs="仿宋_GB2312" w:eastAsia="仿宋_GB2312"/>
                <w:sz w:val="20"/>
              </w:rPr>
              <w:t>2.文创产品设计、制作及首发仪式。</w:t>
            </w:r>
          </w:p>
          <w:p>
            <w:pPr>
              <w:pStyle w:val="null3"/>
            </w:pPr>
            <w:r>
              <w:rPr>
                <w:rFonts w:ascii="仿宋_GB2312" w:hAnsi="仿宋_GB2312" w:cs="仿宋_GB2312" w:eastAsia="仿宋_GB2312"/>
                <w:sz w:val="20"/>
              </w:rPr>
              <w:t>（五）应急预案</w:t>
            </w:r>
          </w:p>
          <w:p>
            <w:pPr>
              <w:pStyle w:val="null3"/>
            </w:pPr>
            <w:r>
              <w:rPr>
                <w:rFonts w:ascii="仿宋_GB2312" w:hAnsi="仿宋_GB2312" w:cs="仿宋_GB2312" w:eastAsia="仿宋_GB2312"/>
                <w:sz w:val="20"/>
              </w:rPr>
              <w:t>提供突发事件及紧急事项应急预案及处置。</w:t>
            </w:r>
          </w:p>
          <w:p>
            <w:pPr>
              <w:pStyle w:val="null3"/>
              <w:jc w:val="both"/>
            </w:pPr>
            <w:r>
              <w:rPr>
                <w:rFonts w:ascii="仿宋_GB2312" w:hAnsi="仿宋_GB2312" w:cs="仿宋_GB2312" w:eastAsia="仿宋_GB2312"/>
                <w:sz w:val="20"/>
              </w:rPr>
              <w:t>（六）方案审批要求</w:t>
            </w:r>
          </w:p>
          <w:p>
            <w:pPr>
              <w:pStyle w:val="null3"/>
            </w:pPr>
            <w:r>
              <w:rPr>
                <w:rFonts w:ascii="仿宋_GB2312" w:hAnsi="仿宋_GB2312" w:cs="仿宋_GB2312" w:eastAsia="仿宋_GB2312"/>
                <w:sz w:val="20"/>
              </w:rPr>
              <w:t>各种方案需报采购人审核后实施。</w:t>
            </w:r>
          </w:p>
          <w:p>
            <w:pPr>
              <w:pStyle w:val="null3"/>
              <w:jc w:val="both"/>
            </w:pPr>
            <w:r>
              <w:rPr>
                <w:rFonts w:ascii="仿宋_GB2312" w:hAnsi="仿宋_GB2312" w:cs="仿宋_GB2312" w:eastAsia="仿宋_GB2312"/>
                <w:sz w:val="20"/>
              </w:rPr>
              <w:t>（七）</w:t>
            </w:r>
            <w:r>
              <w:rPr>
                <w:rFonts w:ascii="仿宋_GB2312" w:hAnsi="仿宋_GB2312" w:cs="仿宋_GB2312" w:eastAsia="仿宋_GB2312"/>
                <w:sz w:val="20"/>
              </w:rPr>
              <w:t>企业及服务团队要求</w:t>
            </w:r>
          </w:p>
          <w:p>
            <w:pPr>
              <w:pStyle w:val="null3"/>
              <w:jc w:val="both"/>
            </w:pPr>
            <w:r>
              <w:rPr>
                <w:rFonts w:ascii="仿宋_GB2312" w:hAnsi="仿宋_GB2312" w:cs="仿宋_GB2312" w:eastAsia="仿宋_GB2312"/>
                <w:sz w:val="20"/>
              </w:rPr>
              <w:t>投标人须有丰富的会展资源，具备一定的</w:t>
            </w:r>
            <w:r>
              <w:rPr>
                <w:rFonts w:ascii="仿宋_GB2312" w:hAnsi="仿宋_GB2312" w:cs="仿宋_GB2312" w:eastAsia="仿宋_GB2312"/>
                <w:sz w:val="20"/>
              </w:rPr>
              <w:t>市场</w:t>
            </w:r>
            <w:r>
              <w:rPr>
                <w:rFonts w:ascii="仿宋_GB2312" w:hAnsi="仿宋_GB2312" w:cs="仿宋_GB2312" w:eastAsia="仿宋_GB2312"/>
                <w:sz w:val="20"/>
              </w:rPr>
              <w:t>竞争力</w:t>
            </w:r>
            <w:r>
              <w:rPr>
                <w:rFonts w:ascii="仿宋_GB2312" w:hAnsi="仿宋_GB2312" w:cs="仿宋_GB2312" w:eastAsia="仿宋_GB2312"/>
                <w:sz w:val="20"/>
              </w:rPr>
              <w:t>;投标人须有与项目执行相适应的专职会展团队</w:t>
            </w:r>
            <w:r>
              <w:rPr>
                <w:rFonts w:ascii="仿宋_GB2312" w:hAnsi="仿宋_GB2312" w:cs="仿宋_GB2312" w:eastAsia="仿宋_GB2312"/>
                <w:sz w:val="20"/>
              </w:rPr>
              <w:t>；</w:t>
            </w:r>
            <w:r>
              <w:rPr>
                <w:rFonts w:ascii="仿宋_GB2312" w:hAnsi="仿宋_GB2312" w:cs="仿宋_GB2312" w:eastAsia="仿宋_GB2312"/>
                <w:sz w:val="20"/>
              </w:rPr>
              <w:t>投标人须按照展会执行需求明确团队人员组成和分工，与采购方建立顺畅高效的对接沟通机制，全程负责整个项目的策划、推广、执行、管理和实施。</w:t>
            </w:r>
          </w:p>
          <w:p>
            <w:pPr>
              <w:pStyle w:val="null3"/>
              <w:jc w:val="both"/>
            </w:pPr>
            <w:r>
              <w:rPr>
                <w:rFonts w:ascii="仿宋_GB2312" w:hAnsi="仿宋_GB2312" w:cs="仿宋_GB2312" w:eastAsia="仿宋_GB2312"/>
                <w:sz w:val="20"/>
              </w:rPr>
              <w:t>（八）</w:t>
            </w:r>
            <w:r>
              <w:rPr>
                <w:rFonts w:ascii="仿宋_GB2312" w:hAnsi="仿宋_GB2312" w:cs="仿宋_GB2312" w:eastAsia="仿宋_GB2312"/>
                <w:sz w:val="20"/>
              </w:rPr>
              <w:t>项目总结</w:t>
            </w:r>
          </w:p>
          <w:p>
            <w:pPr>
              <w:pStyle w:val="null3"/>
              <w:jc w:val="both"/>
            </w:pPr>
            <w:r>
              <w:rPr>
                <w:rFonts w:ascii="仿宋_GB2312" w:hAnsi="仿宋_GB2312" w:cs="仿宋_GB2312" w:eastAsia="仿宋_GB2312"/>
                <w:sz w:val="20"/>
              </w:rPr>
              <w:t>投标人</w:t>
            </w:r>
            <w:r>
              <w:rPr>
                <w:rFonts w:ascii="仿宋_GB2312" w:hAnsi="仿宋_GB2312" w:cs="仿宋_GB2312" w:eastAsia="仿宋_GB2312"/>
                <w:sz w:val="20"/>
              </w:rPr>
              <w:t>须提供项目准备、实施进度表</w:t>
            </w:r>
            <w:r>
              <w:rPr>
                <w:rFonts w:ascii="仿宋_GB2312" w:hAnsi="仿宋_GB2312" w:cs="仿宋_GB2312" w:eastAsia="仿宋_GB2312"/>
                <w:sz w:val="20"/>
              </w:rPr>
              <w:t>等相关资料</w:t>
            </w:r>
            <w:r>
              <w:rPr>
                <w:rFonts w:ascii="仿宋_GB2312" w:hAnsi="仿宋_GB2312" w:cs="仿宋_GB2312" w:eastAsia="仿宋_GB2312"/>
                <w:sz w:val="20"/>
              </w:rPr>
              <w:t>，对项</w:t>
            </w:r>
            <w:r>
              <w:rPr>
                <w:rFonts w:ascii="仿宋_GB2312" w:hAnsi="仿宋_GB2312" w:cs="仿宋_GB2312" w:eastAsia="仿宋_GB2312"/>
                <w:sz w:val="20"/>
              </w:rPr>
              <w:t>目</w:t>
            </w:r>
            <w:r>
              <w:rPr>
                <w:rFonts w:ascii="仿宋_GB2312" w:hAnsi="仿宋_GB2312" w:cs="仿宋_GB2312" w:eastAsia="仿宋_GB2312"/>
                <w:sz w:val="20"/>
              </w:rPr>
              <w:t>执行情况进行资料信息收集、整理、分析</w:t>
            </w:r>
            <w:r>
              <w:rPr>
                <w:rFonts w:ascii="仿宋_GB2312" w:hAnsi="仿宋_GB2312" w:cs="仿宋_GB2312" w:eastAsia="仿宋_GB2312"/>
                <w:sz w:val="20"/>
              </w:rPr>
              <w:t>总结</w:t>
            </w:r>
            <w:r>
              <w:rPr>
                <w:rFonts w:ascii="仿宋_GB2312" w:hAnsi="仿宋_GB2312" w:cs="仿宋_GB2312" w:eastAsia="仿宋_GB2312"/>
                <w:sz w:val="20"/>
              </w:rPr>
              <w:t>汇总，于展会结束</w:t>
            </w:r>
            <w:r>
              <w:rPr>
                <w:rFonts w:ascii="仿宋_GB2312" w:hAnsi="仿宋_GB2312" w:cs="仿宋_GB2312" w:eastAsia="仿宋_GB2312"/>
                <w:sz w:val="20"/>
              </w:rPr>
              <w:t>1个月内提交项目总结</w:t>
            </w:r>
            <w:r>
              <w:rPr>
                <w:rFonts w:ascii="仿宋_GB2312" w:hAnsi="仿宋_GB2312" w:cs="仿宋_GB2312" w:eastAsia="仿宋_GB2312"/>
                <w:sz w:val="20"/>
              </w:rPr>
              <w:t>报告</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（九）保密及知识产权</w:t>
            </w:r>
          </w:p>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w:t>
            </w:r>
            <w:r>
              <w:rPr>
                <w:rFonts w:ascii="仿宋_GB2312" w:hAnsi="仿宋_GB2312" w:cs="仿宋_GB2312" w:eastAsia="仿宋_GB2312"/>
                <w:sz w:val="20"/>
              </w:rPr>
              <w:t>保密要求</w:t>
            </w:r>
          </w:p>
          <w:p>
            <w:pPr>
              <w:pStyle w:val="null3"/>
              <w:jc w:val="both"/>
            </w:pPr>
            <w:r>
              <w:rPr>
                <w:rFonts w:ascii="仿宋_GB2312" w:hAnsi="仿宋_GB2312" w:cs="仿宋_GB2312" w:eastAsia="仿宋_GB2312"/>
                <w:sz w:val="20"/>
              </w:rPr>
              <w:t>参与招标投标活动的各方应对招标文件和投标文件中的商业和技术等秘密保密，违者应对由此造成的后果承担法律责任。</w:t>
            </w:r>
          </w:p>
          <w:p>
            <w:pPr>
              <w:pStyle w:val="null3"/>
              <w:jc w:val="both"/>
            </w:pPr>
            <w:r>
              <w:rPr>
                <w:rFonts w:ascii="仿宋_GB2312" w:hAnsi="仿宋_GB2312" w:cs="仿宋_GB2312" w:eastAsia="仿宋_GB2312"/>
                <w:sz w:val="20"/>
              </w:rPr>
              <w:t>2</w:t>
            </w:r>
            <w:r>
              <w:rPr>
                <w:rFonts w:ascii="仿宋_GB2312" w:hAnsi="仿宋_GB2312" w:cs="仿宋_GB2312" w:eastAsia="仿宋_GB2312"/>
                <w:sz w:val="20"/>
              </w:rPr>
              <w:t>.</w:t>
            </w:r>
            <w:r>
              <w:rPr>
                <w:rFonts w:ascii="仿宋_GB2312" w:hAnsi="仿宋_GB2312" w:cs="仿宋_GB2312" w:eastAsia="仿宋_GB2312"/>
                <w:sz w:val="20"/>
              </w:rPr>
              <w:t>知识产权</w:t>
            </w:r>
          </w:p>
          <w:p>
            <w:pPr>
              <w:pStyle w:val="null3"/>
              <w:jc w:val="both"/>
            </w:pPr>
            <w:r>
              <w:rPr>
                <w:rFonts w:ascii="仿宋_GB2312" w:hAnsi="仿宋_GB2312" w:cs="仿宋_GB2312" w:eastAsia="仿宋_GB2312"/>
                <w:sz w:val="20"/>
              </w:rPr>
              <w:t>投标人须对其提供的方案、产品、技术和服务等拥有合法的占有、使用和处置权，并对涉及项目的所有内容可能的侵权行为指控负责，保证不损害采购人的利益。在法律范围内，如果出现文字、图片、商标和技术、商业秘密及其他侵权行为而造成的纠纷和产生的一切费用，采购人概不负责，均由投标人负责处理</w:t>
            </w:r>
            <w:r>
              <w:rPr>
                <w:rFonts w:ascii="仿宋_GB2312" w:hAnsi="仿宋_GB2312" w:cs="仿宋_GB2312" w:eastAsia="仿宋_GB2312"/>
                <w:sz w:val="20"/>
              </w:rPr>
              <w:t>;由此给采购人造成损失的，投标人应承担相应后果，并负责赔偿。投标人为执行本项</w:t>
            </w:r>
            <w:r>
              <w:rPr>
                <w:rFonts w:ascii="仿宋_GB2312" w:hAnsi="仿宋_GB2312" w:cs="仿宋_GB2312" w:eastAsia="仿宋_GB2312"/>
                <w:sz w:val="20"/>
              </w:rPr>
              <w:t>目</w:t>
            </w:r>
            <w:r>
              <w:rPr>
                <w:rFonts w:ascii="仿宋_GB2312" w:hAnsi="仿宋_GB2312" w:cs="仿宋_GB2312" w:eastAsia="仿宋_GB2312"/>
                <w:sz w:val="20"/>
              </w:rPr>
              <w:t>合同而提供的技术资料归采购人所有。投标人应保证在中华人民共和国境内使用其提供的产品、技术、服务或其任何一部分时，不会产生因第三方提出侵犯其专利权、商标权或其它知识产权而引起的法律和经济纠纷。如投标人不拥有相应的知识产权，则在报价中必须包括合法获取该知识产权的相关费用。如采购人受到来自第三方的侵权诉讼或索赔时，则采购人将及时通知投标人，投标人应主动承担相应责任并尽力维护采购人声誉。</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满足采购需求的人员配置</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满足采购需求的设备设施</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合同签署之日起至展会服务完毕后30日历日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按合同约定执行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验收合格之日起</w:t>
      </w:r>
      <w:r>
        <w:rPr>
          <w:rFonts w:ascii="仿宋_GB2312" w:hAnsi="仿宋_GB2312" w:cs="仿宋_GB2312" w:eastAsia="仿宋_GB2312"/>
        </w:rPr>
        <w:t xml:space="preserve"> ，达到付款条件起 </w:t>
      </w:r>
      <w:r>
        <w:rPr>
          <w:rFonts w:ascii="仿宋_GB2312" w:hAnsi="仿宋_GB2312" w:cs="仿宋_GB2312" w:eastAsia="仿宋_GB2312"/>
        </w:rPr>
        <w:t>60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按合同约定执行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1.提供了有效的法人/企业负责人或者其他组织的营业执照等证明文件，自然人的身份证明2.供应商需在项目电子化交易系统中按要求填写《投标函》完成承诺并进行电子签章。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供应商特定资格条件</w:t>
            </w:r>
          </w:p>
        </w:tc>
        <w:tc>
          <w:tcPr>
            <w:tcW w:type="dxa" w:w="3322"/>
          </w:tcPr>
          <w:p>
            <w:pPr>
              <w:pStyle w:val="null3"/>
            </w:pPr>
            <w:r>
              <w:rPr>
                <w:rFonts w:ascii="仿宋_GB2312" w:hAnsi="仿宋_GB2312" w:cs="仿宋_GB2312" w:eastAsia="仿宋_GB2312"/>
              </w:rPr>
              <w:t>供应商在递交响应文件截止时间前被“信用中国 ”网站（www.creditchina.gov.cn）和中国政 府采购网（www.ccgp.gov.cn）上被列入失信 被执行人、重大税收违法失信主体、政府采购严重违法失信行为记录名单的，不得参加磋商</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响应文件按采购文件要求签署、盖章</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响应文件有效期有效期满足采购文件要求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首次磋商报价</w:t>
            </w:r>
          </w:p>
        </w:tc>
        <w:tc>
          <w:tcPr>
            <w:tcW w:type="dxa" w:w="3322"/>
          </w:tcPr>
          <w:p>
            <w:pPr>
              <w:pStyle w:val="null3"/>
            </w:pPr>
            <w:r>
              <w:rPr>
                <w:rFonts w:ascii="仿宋_GB2312" w:hAnsi="仿宋_GB2312" w:cs="仿宋_GB2312" w:eastAsia="仿宋_GB2312"/>
              </w:rPr>
              <w:t>供应商首次磋商报价没有超出采购预算或最高限价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磋商保证金</w:t>
            </w:r>
          </w:p>
        </w:tc>
        <w:tc>
          <w:tcPr>
            <w:tcW w:type="dxa" w:w="3322"/>
          </w:tcPr>
          <w:p>
            <w:pPr>
              <w:pStyle w:val="null3"/>
            </w:pPr>
            <w:r>
              <w:rPr>
                <w:rFonts w:ascii="仿宋_GB2312" w:hAnsi="仿宋_GB2312" w:cs="仿宋_GB2312" w:eastAsia="仿宋_GB2312"/>
              </w:rPr>
              <w:t>磋商保证金已按采购文件规定提交且金额、形式符合采购文件要求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响应内容</w:t>
            </w:r>
          </w:p>
        </w:tc>
        <w:tc>
          <w:tcPr>
            <w:tcW w:type="dxa" w:w="3322"/>
          </w:tcPr>
          <w:p>
            <w:pPr>
              <w:pStyle w:val="null3"/>
            </w:pPr>
            <w:r>
              <w:rPr>
                <w:rFonts w:ascii="仿宋_GB2312" w:hAnsi="仿宋_GB2312" w:cs="仿宋_GB2312" w:eastAsia="仿宋_GB2312"/>
              </w:rPr>
              <w:t>响应内容不存在漏项或数量与要求不符合采购文件规定情形，响应内容满足采购文件的商务、技术等实质性要求，不存在采购档次降低或影响采购性能、功能的情形</w:t>
            </w:r>
          </w:p>
        </w:tc>
        <w:tc>
          <w:tcPr>
            <w:tcW w:type="dxa" w:w="1661"/>
          </w:tcPr>
          <w:p>
            <w:pPr>
              <w:pStyle w:val="null3"/>
            </w:pPr>
            <w:r>
              <w:rPr>
                <w:rFonts w:ascii="仿宋_GB2312" w:hAnsi="仿宋_GB2312" w:cs="仿宋_GB2312" w:eastAsia="仿宋_GB2312"/>
              </w:rPr>
              <w:t>服务内容及服务邀请应答表 服务方案</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附加条件</w:t>
            </w:r>
          </w:p>
        </w:tc>
        <w:tc>
          <w:tcPr>
            <w:tcW w:type="dxa" w:w="3322"/>
          </w:tcPr>
          <w:p>
            <w:pPr>
              <w:pStyle w:val="null3"/>
            </w:pPr>
            <w:r>
              <w:rPr>
                <w:rFonts w:ascii="仿宋_GB2312" w:hAnsi="仿宋_GB2312" w:cs="仿宋_GB2312" w:eastAsia="仿宋_GB2312"/>
              </w:rPr>
              <w:t>响应文件不含有采购人不能接受的附加条件。</w:t>
            </w:r>
          </w:p>
        </w:tc>
        <w:tc>
          <w:tcPr>
            <w:tcW w:type="dxa" w:w="1661"/>
          </w:tcPr>
          <w:p>
            <w:pPr>
              <w:pStyle w:val="null3"/>
            </w:pPr>
            <w:r>
              <w:rPr>
                <w:rFonts w:ascii="仿宋_GB2312" w:hAnsi="仿宋_GB2312" w:cs="仿宋_GB2312" w:eastAsia="仿宋_GB2312"/>
              </w:rPr>
              <w:t>服务内容及服务邀请应答表 服务方案</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公平竞争</w:t>
            </w:r>
          </w:p>
        </w:tc>
        <w:tc>
          <w:tcPr>
            <w:tcW w:type="dxa" w:w="3322"/>
          </w:tcPr>
          <w:p>
            <w:pPr>
              <w:pStyle w:val="null3"/>
            </w:pPr>
            <w:r>
              <w:rPr>
                <w:rFonts w:ascii="仿宋_GB2312" w:hAnsi="仿宋_GB2312" w:cs="仿宋_GB2312" w:eastAsia="仿宋_GB2312"/>
              </w:rPr>
              <w:t>遵循公平竞争的原则，没有弄虚作假、恶意串通或妨碍其他投标人的竞争行为，损害采购人或者其他投标人的合法权益。 （弄虚作假、串通投标的情形见附注）</w:t>
            </w:r>
          </w:p>
        </w:tc>
        <w:tc>
          <w:tcPr>
            <w:tcW w:type="dxa" w:w="1661"/>
          </w:tcPr>
          <w:p>
            <w:pPr>
              <w:pStyle w:val="null3"/>
            </w:pPr>
            <w:r>
              <w:rPr>
                <w:rFonts w:ascii="仿宋_GB2312" w:hAnsi="仿宋_GB2312" w:cs="仿宋_GB2312" w:eastAsia="仿宋_GB2312"/>
              </w:rPr>
              <w:t>服务内容及服务邀请应答表 商务应答表 服务方案</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其它</w:t>
            </w:r>
          </w:p>
        </w:tc>
        <w:tc>
          <w:tcPr>
            <w:tcW w:type="dxa" w:w="3322"/>
          </w:tcPr>
          <w:p>
            <w:pPr>
              <w:pStyle w:val="null3"/>
            </w:pPr>
            <w:r>
              <w:rPr>
                <w:rFonts w:ascii="仿宋_GB2312" w:hAnsi="仿宋_GB2312" w:cs="仿宋_GB2312" w:eastAsia="仿宋_GB2312"/>
              </w:rPr>
              <w:t>不存在其它不符合法律法规或采购文件规定的响应无效条款的情形</w:t>
            </w:r>
          </w:p>
        </w:tc>
        <w:tc>
          <w:tcPr>
            <w:tcW w:type="dxa" w:w="1661"/>
          </w:tcPr>
          <w:p>
            <w:pPr>
              <w:pStyle w:val="null3"/>
            </w:pPr>
            <w:r>
              <w:rPr>
                <w:rFonts w:ascii="仿宋_GB2312" w:hAnsi="仿宋_GB2312" w:cs="仿宋_GB2312" w:eastAsia="仿宋_GB2312"/>
              </w:rPr>
              <w:t>服务内容及服务邀请应答表 商务应答表 服务方案</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对项目的理解程度</w:t>
            </w:r>
          </w:p>
        </w:tc>
        <w:tc>
          <w:tcPr>
            <w:tcW w:type="dxa" w:w="2492"/>
          </w:tcPr>
          <w:p>
            <w:pPr>
              <w:pStyle w:val="null3"/>
            </w:pPr>
            <w:r>
              <w:rPr>
                <w:rFonts w:ascii="仿宋_GB2312" w:hAnsi="仿宋_GB2312" w:cs="仿宋_GB2312" w:eastAsia="仿宋_GB2312"/>
              </w:rPr>
              <w:t>针对本项目的理解分析，包括①对本项目的背景、内容及意义理解②项目的重点及亮点有具体分析及具体措施③项目定位和需求理解；方案内容详细完整、针对性强、可行性高，符合项目实际要求。每项满分5分，缺项不得分，每项内容存在缺陷，扣2分。 缺陷是指内容不合理、虽有内容但不完善、内容表述前后不一致、套用其他项目方案或与项目需求不匹配及其他不利于项目实施的任意一种情形。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线上展会运维方案</w:t>
            </w:r>
          </w:p>
        </w:tc>
        <w:tc>
          <w:tcPr>
            <w:tcW w:type="dxa" w:w="2492"/>
          </w:tcPr>
          <w:p>
            <w:pPr>
              <w:pStyle w:val="null3"/>
            </w:pPr>
            <w:r>
              <w:rPr>
                <w:rFonts w:ascii="仿宋_GB2312" w:hAnsi="仿宋_GB2312" w:cs="仿宋_GB2312" w:eastAsia="仿宋_GB2312"/>
              </w:rPr>
              <w:t>针对本项目提供线上展会运维方案，包括①“线上丝博会平台”开发运行维护②现场信息系统光纤接入③网站、微信公众号运营维护、功能升级和信息发布；④日常运行维护服务方案⑤应急突发事件响应；每项满分5分，缺项不得分，每项内容存在缺陷，扣2分。 缺陷是指内容不合理、虽有内容但不完善、内容表述前后不一致、套用其他项目方案或与项目需求不匹配及其他不利于项目实施的任意一种情形。</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广告宣传方案</w:t>
            </w:r>
          </w:p>
        </w:tc>
        <w:tc>
          <w:tcPr>
            <w:tcW w:type="dxa" w:w="2492"/>
          </w:tcPr>
          <w:p>
            <w:pPr>
              <w:pStyle w:val="null3"/>
            </w:pPr>
            <w:r>
              <w:rPr>
                <w:rFonts w:ascii="仿宋_GB2312" w:hAnsi="仿宋_GB2312" w:cs="仿宋_GB2312" w:eastAsia="仿宋_GB2312"/>
              </w:rPr>
              <w:t>针对本项目采购需求制定广告宣传推广方案，包括①广告宣传推广方式、途径、渠道、②广告宣传推广方式优缺点③广告宣传推广时间，人群④文创产品的设计。制作等方面。方案内容详细完整、针对性强、可行性高，符合项目实际要求。每项满分5分，缺项不得分，每项内容存在缺陷，扣2分。 缺陷是指内容不合理、虽有内容但不完善、内容表述前后不一致、套用其他项目方案或与项目需求不匹配及其他不利于项目实施的任意一种情形。</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人员配置</w:t>
            </w:r>
          </w:p>
        </w:tc>
        <w:tc>
          <w:tcPr>
            <w:tcW w:type="dxa" w:w="2492"/>
          </w:tcPr>
          <w:p>
            <w:pPr>
              <w:pStyle w:val="null3"/>
            </w:pPr>
            <w:r>
              <w:rPr>
                <w:rFonts w:ascii="仿宋_GB2312" w:hAnsi="仿宋_GB2312" w:cs="仿宋_GB2312" w:eastAsia="仿宋_GB2312"/>
              </w:rPr>
              <w:t>针对本项目人员配备，包括①团队组织人员配置明细②团队人员管理制度；③各专业种类、岗位配置；④配置人员资格、职称及工作经验。每项满分5分，缺项不得分，每项内容存在缺陷，扣2分。 缺陷是指内容不合理、虽有内容但不完善、内容表述前后不一致、套用其他项目方案或与项目需求不匹配及其他不利于项目实施的任意一种情形。</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针对本项目的合理建议及解决方案：（1）方案完整详细、描述清晰、内容科学合理、可实施性强的，得5分；（2）方案较完整但简单、内容合理性及可实施性一般的，得3分；（3）方案内容有缺失，影响到项目实施的，得1分；（4）未提供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保密方案</w:t>
            </w:r>
          </w:p>
        </w:tc>
        <w:tc>
          <w:tcPr>
            <w:tcW w:type="dxa" w:w="2492"/>
          </w:tcPr>
          <w:p>
            <w:pPr>
              <w:pStyle w:val="null3"/>
            </w:pPr>
            <w:r>
              <w:rPr>
                <w:rFonts w:ascii="仿宋_GB2312" w:hAnsi="仿宋_GB2312" w:cs="仿宋_GB2312" w:eastAsia="仿宋_GB2312"/>
              </w:rPr>
              <w:t>针对本项目的保密方案：（1）方案完整详细、描述清晰、内容科学合理、可实施性强的，得5分；（2）方案较完整但简单、内容合理性及可实施性一般的，得3分；（3）方案内容有缺失，影响到项目实施的，得1分；（4）未提供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满足竞争性磋商文件要求且最终报价价格最低的报价为评标基准价，其价格分为满分。其他供应商的价格分统一按照下列公式计算：价格分=(评标基准价／招标报价)×10注：计算分数时四舍五入取小数点后两位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详见附件：拟签订的合同文本.docx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