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版本号：HXGJXM2025-ZC-CS101520250507001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陕西省总工会2025年网上健步走活动服务(三次)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HXGJXM2025-ZC-CS1015</w:t>
      </w:r>
      <w:r>
        <w:br/>
      </w:r>
      <w:r>
        <w:br/>
      </w:r>
      <w:r>
        <w:br/>
      </w:r>
    </w:p>
    <w:p>
      <w:pPr>
        <w:pStyle w:val="null3"/>
        <w:jc w:val="center"/>
        <w:outlineLvl w:val="2"/>
      </w:pPr>
      <w:r>
        <w:rPr>
          <w:rFonts w:ascii="仿宋_GB2312" w:hAnsi="仿宋_GB2312" w:cs="仿宋_GB2312" w:eastAsia="仿宋_GB2312"/>
          <w:sz w:val="28"/>
          <w:b/>
        </w:rPr>
        <w:t>省总工会本级</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省总工会本级</w:t>
      </w:r>
      <w:r>
        <w:rPr>
          <w:rFonts w:ascii="仿宋_GB2312" w:hAnsi="仿宋_GB2312" w:cs="仿宋_GB2312" w:eastAsia="仿宋_GB2312"/>
        </w:rPr>
        <w:t>委托，拟对</w:t>
      </w:r>
      <w:r>
        <w:rPr>
          <w:rFonts w:ascii="仿宋_GB2312" w:hAnsi="仿宋_GB2312" w:cs="仿宋_GB2312" w:eastAsia="仿宋_GB2312"/>
        </w:rPr>
        <w:t>陕西省总工会2025年网上健步走活动服务(三次)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陕西省总工会2025年网上健步走活动服务(三次)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陕西省总工会2025年网上健步走活动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采购包1（陕西省总工会2025年网上健步走活动）：属于专门面向中小企业采购。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在磋商截止日前一年内在本单位已缴存的至少一个月的社会保险参保缴费证明；法定代表人直接参加磋商，须提供法定代表人身份证明（附法定代表人身份证复印件）。</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3、磋商保证金：提供磋商保证金转账凭证或保函。</w:t>
      </w:r>
    </w:p>
    <w:p>
      <w:pPr>
        <w:pStyle w:val="null3"/>
      </w:pPr>
      <w:r>
        <w:rPr>
          <w:rFonts w:ascii="仿宋_GB2312" w:hAnsi="仿宋_GB2312" w:cs="仿宋_GB2312" w:eastAsia="仿宋_GB2312"/>
        </w:rPr>
        <w:t>4、本项目不接受联合体磋商：提供非联合体声明。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省总工会本级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西安市莲湖路389号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029-87228981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陕西省西安市莲湖区二环南路西段202号九座花园16楼1605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柴彩珍、李小峰、康敏茹、张艳萍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说明：付款前成交单位支付成交金额的5%作为履约保证金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省总工会本级</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省总工会本级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省总工会本级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由采购人参照《财政部关于进一步加强政府采购需求和履约验收管理的指导意见》（财库﹝2016﹞205号）的相关法律法规自行组织验收。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联系人：柴彩珍、李小峰、康敏茹、张艳萍</w:t>
      </w:r>
    </w:p>
    <w:p>
      <w:pPr>
        <w:pStyle w:val="null3"/>
      </w:pPr>
      <w:r>
        <w:rPr>
          <w:rFonts w:ascii="仿宋_GB2312" w:hAnsi="仿宋_GB2312" w:cs="仿宋_GB2312" w:eastAsia="仿宋_GB2312"/>
        </w:rPr>
        <w:t>联系电话：029-88899970-808</w:t>
      </w:r>
    </w:p>
    <w:p>
      <w:pPr>
        <w:pStyle w:val="null3"/>
      </w:pPr>
      <w:r>
        <w:rPr>
          <w:rFonts w:ascii="仿宋_GB2312" w:hAnsi="仿宋_GB2312" w:cs="仿宋_GB2312" w:eastAsia="仿宋_GB2312"/>
        </w:rPr>
        <w:t>地址：陕西省西安市莲湖区二环南路西段202号九座花园16楼1605</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陕西省总工会2025年网上健步走活动，详见磋商文件技术及商务要求。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网上健步走活动服务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标的名称：网上健步走活动服务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热烈庆祝中华全国总工会成立100周年，深入贯彻落实党的关于“广泛开展全民健身活动”的重要部署，积极响应国家卫健委“体重管理年”3年行动。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自合同签订之日起至2025年6月30日。</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包括但不限于活动主页及banner，活动规则页面，电子徽章，答题、打卡等小游戏页面、抽奖主题页面等。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0"/>
              <w:jc w:val="both"/>
            </w:pPr>
            <w:r>
              <w:rPr>
                <w:rFonts w:ascii="仿宋_GB2312" w:hAnsi="仿宋_GB2312" w:cs="仿宋_GB2312" w:eastAsia="仿宋_GB2312"/>
                <w:sz w:val="21"/>
              </w:rPr>
              <w:t>1.提供健步走微信小程序使用服务，至少满足10万人同时使用。支持与陕西网上工会系统会员数据库和组织数据库绑定关联，进行数据调用。</w:t>
            </w:r>
          </w:p>
          <w:p>
            <w:pPr>
              <w:pStyle w:val="null3"/>
              <w:ind w:firstLine="480"/>
              <w:jc w:val="both"/>
            </w:pPr>
            <w:r>
              <w:rPr>
                <w:rFonts w:ascii="仿宋_GB2312" w:hAnsi="仿宋_GB2312" w:cs="仿宋_GB2312" w:eastAsia="仿宋_GB2312"/>
                <w:sz w:val="21"/>
              </w:rPr>
              <w:t>2.设计步数获取、统计、排名规则。通过微信运动获取每日步数，单日上限为2万步，个人和团队累计总步数用以个人赛与团队赛排名。</w:t>
            </w:r>
          </w:p>
          <w:p>
            <w:pPr>
              <w:pStyle w:val="null3"/>
              <w:ind w:firstLine="480"/>
              <w:jc w:val="both"/>
            </w:pPr>
            <w:r>
              <w:rPr>
                <w:rFonts w:ascii="仿宋_GB2312" w:hAnsi="仿宋_GB2312" w:cs="仿宋_GB2312" w:eastAsia="仿宋_GB2312"/>
                <w:sz w:val="21"/>
              </w:rPr>
              <w:t>3.开发活动小游戏。以新时代特色主义思想为指导，根据总书记重要讲话重要指示、中国百年工运史等内容，围绕国家卫健委“体重管理年”3年行动要求，设计2到3项小游戏。</w:t>
            </w:r>
          </w:p>
          <w:p>
            <w:pPr>
              <w:pStyle w:val="null3"/>
              <w:ind w:firstLine="480"/>
              <w:jc w:val="both"/>
            </w:pPr>
            <w:r>
              <w:rPr>
                <w:rFonts w:ascii="仿宋_GB2312" w:hAnsi="仿宋_GB2312" w:cs="仿宋_GB2312" w:eastAsia="仿宋_GB2312"/>
                <w:sz w:val="21"/>
              </w:rPr>
              <w:t>4.设计奖品发放规则，包括但不限于抽奖、排名等形式。</w:t>
            </w:r>
          </w:p>
          <w:p>
            <w:pPr>
              <w:pStyle w:val="null3"/>
              <w:jc w:val="both"/>
            </w:pPr>
            <w:r>
              <w:rPr>
                <w:rFonts w:ascii="仿宋_GB2312" w:hAnsi="仿宋_GB2312" w:cs="仿宋_GB2312" w:eastAsia="仿宋_GB2312"/>
                <w:sz w:val="21"/>
              </w:rPr>
              <w:t xml:space="preserve">       5.支持验证工会会员身份信息。</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80"/>
              <w:jc w:val="both"/>
            </w:pPr>
            <w:r>
              <w:rPr>
                <w:rFonts w:ascii="仿宋_GB2312" w:hAnsi="仿宋_GB2312" w:cs="仿宋_GB2312" w:eastAsia="仿宋_GB2312"/>
                <w:sz w:val="21"/>
              </w:rPr>
              <w:t>1.成立不少于3人的专项保障小组，活动期间负责项目的日常沟通、项目主题策划、流程内容设计、前期准备、活动执行、网络安全等工作。</w:t>
            </w:r>
          </w:p>
          <w:p>
            <w:pPr>
              <w:pStyle w:val="null3"/>
              <w:ind w:firstLine="480"/>
              <w:jc w:val="both"/>
            </w:pPr>
            <w:r>
              <w:rPr>
                <w:rFonts w:ascii="仿宋_GB2312" w:hAnsi="仿宋_GB2312" w:cs="仿宋_GB2312" w:eastAsia="仿宋_GB2312"/>
                <w:sz w:val="21"/>
              </w:rPr>
              <w:t>2.提供设计活动海报、撰写宣传软文、多平台推广等宣发服务。</w:t>
            </w:r>
          </w:p>
          <w:p>
            <w:pPr>
              <w:pStyle w:val="null3"/>
              <w:ind w:firstLine="480"/>
              <w:jc w:val="both"/>
            </w:pPr>
            <w:r>
              <w:rPr>
                <w:rFonts w:ascii="仿宋_GB2312" w:hAnsi="仿宋_GB2312" w:cs="仿宋_GB2312" w:eastAsia="仿宋_GB2312"/>
                <w:sz w:val="21"/>
              </w:rPr>
              <w:t>3.提供活动数据报表生成导出服务，活动结束后出具分析报告。</w:t>
            </w:r>
          </w:p>
          <w:p>
            <w:pPr>
              <w:pStyle w:val="null3"/>
              <w:jc w:val="both"/>
            </w:pPr>
            <w:r>
              <w:rPr>
                <w:rFonts w:ascii="仿宋_GB2312" w:hAnsi="仿宋_GB2312" w:cs="仿宋_GB2312" w:eastAsia="仿宋_GB2312"/>
                <w:sz w:val="21"/>
              </w:rPr>
              <w:t xml:space="preserve">      4.提供活动奖品代采购和发放服务，奖品数量不得低于1万份，种类包括但不限于电子卡券、生活用品、运动用品等。采购价格不得超过淘宝、天猫官方旗舰店或京东自营同款商品零售价，采购总价不得低于中标价格的80%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满足活动需要。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满足活动需求。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满足活动需要。</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 1-1、合同文本、合同附件、竞争性磋商文件、响应文件。 1-2、国内相应的标准、规范。 2、验收方法和标准：由采购人参照《财政部关于进一步加强政府采购需求和履约验收管理的指导意见》（财库﹝2016﹞205号）的相关法律法规自行组织验收。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自活动平台正式上线</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整体项目验收合格后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按《中华人民共和国民法典》中的相关条款和本合同的约定执行。未按合同或磋商文件要求提供产品或供应的产品质量不能满足采购人技术要求，采购人有权终止合同，甚至对供应商违约行为进行追究。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以采购人实际要求为准。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2023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 (3)提供磋商截止日前一年内已缴纳的至少一个月的纳税证明或完税证明，依法免税的单位应提供相关证明材料； (4)提供磋商截止日前一年内已缴存的至少一个月的社会保障资金缴存单据或社保机构开具的社会保险参保缴费情况证明，依法不需要缴纳社会保障资金的单位应提供相关证明材料；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6资格证明文件.docx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6资格证明文件.docx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3供应商承诺书.docx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6资格证明文件.docx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在磋商截止日前一年内在本单位已缴存的至少一个月的社会保险参保缴费证明；法定代表人直接参加磋商，须提供法定代表人身份证明（附法定代表人身份证复印件）。</w:t>
            </w:r>
          </w:p>
        </w:tc>
        <w:tc>
          <w:tcPr>
            <w:tcW w:type="dxa" w:w="1661"/>
          </w:tcPr>
          <w:p>
            <w:pPr>
              <w:pStyle w:val="null3"/>
            </w:pPr>
            <w:r>
              <w:rPr>
                <w:rFonts w:ascii="仿宋_GB2312" w:hAnsi="仿宋_GB2312" w:cs="仿宋_GB2312" w:eastAsia="仿宋_GB2312"/>
              </w:rPr>
              <w:t>6资格证明文件.docx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6资格证明文件.docx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提供磋商保证金转账凭证或保函。</w:t>
            </w:r>
          </w:p>
        </w:tc>
        <w:tc>
          <w:tcPr>
            <w:tcW w:type="dxa" w:w="1661"/>
          </w:tcPr>
          <w:p>
            <w:pPr>
              <w:pStyle w:val="null3"/>
            </w:pPr>
            <w:r>
              <w:rPr>
                <w:rFonts w:ascii="仿宋_GB2312" w:hAnsi="仿宋_GB2312" w:cs="仿宋_GB2312" w:eastAsia="仿宋_GB2312"/>
              </w:rPr>
              <w:t>6资格证明文件.docx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6资格证明文件.docx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8磋商报价表.docx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法定代表人或其授权代表人的签字或盖章、公章齐全</w:t>
            </w:r>
          </w:p>
        </w:tc>
        <w:tc>
          <w:tcPr>
            <w:tcW w:type="dxa" w:w="1661"/>
          </w:tcPr>
          <w:p>
            <w:pPr>
              <w:pStyle w:val="null3"/>
            </w:pPr>
            <w:r>
              <w:rPr>
                <w:rFonts w:ascii="仿宋_GB2312" w:hAnsi="仿宋_GB2312" w:cs="仿宋_GB2312" w:eastAsia="仿宋_GB2312"/>
              </w:rPr>
              <w:t>1服务应答表.docx 4磋商方案说明书.docx 5本项目拟投入人员汇总表.docx 中小企业声明函 报价表 8磋商报价表.docx 响应文件封面 2商务条款偏离表.docx 6资格证明文件.docx 残疾人福利性单位声明函 7其它资料.docx 标的清单 响应函 3供应商承诺书.docx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1服务应答表.docx 4磋商方案说明书.docx 5本项目拟投入人员汇总表.docx 中小企业声明函 报价表 8磋商报价表.docx 响应文件封面 2商务条款偏离表.docx 6资格证明文件.docx 残疾人福利性单位声明函 7其它资料.docx 标的清单 响应函 3供应商承诺书.docx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标的清单 报价表 8磋商报价表.docx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1服务应答表.docx 2商务条款偏离表.docx 3供应商承诺书.docx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活动时间</w:t>
            </w:r>
          </w:p>
        </w:tc>
        <w:tc>
          <w:tcPr>
            <w:tcW w:type="dxa" w:w="3322"/>
          </w:tcPr>
          <w:p>
            <w:pPr>
              <w:pStyle w:val="null3"/>
            </w:pPr>
            <w:r>
              <w:rPr>
                <w:rFonts w:ascii="仿宋_GB2312" w:hAnsi="仿宋_GB2312" w:cs="仿宋_GB2312" w:eastAsia="仿宋_GB2312"/>
              </w:rPr>
              <w:t>应满足磋商文件中要求的活动时间</w:t>
            </w:r>
          </w:p>
        </w:tc>
        <w:tc>
          <w:tcPr>
            <w:tcW w:type="dxa" w:w="1661"/>
          </w:tcPr>
          <w:p>
            <w:pPr>
              <w:pStyle w:val="null3"/>
            </w:pPr>
            <w:r>
              <w:rPr>
                <w:rFonts w:ascii="仿宋_GB2312" w:hAnsi="仿宋_GB2312" w:cs="仿宋_GB2312" w:eastAsia="仿宋_GB2312"/>
              </w:rPr>
              <w:t>响应文件封面 标的清单 报价表 8磋商报价表.docx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不存在法律、法规和磋商文件规定的其他无效磋商情形</w:t>
            </w:r>
          </w:p>
        </w:tc>
        <w:tc>
          <w:tcPr>
            <w:tcW w:type="dxa" w:w="1661"/>
          </w:tcPr>
          <w:p>
            <w:pPr>
              <w:pStyle w:val="null3"/>
            </w:pPr>
            <w:r>
              <w:rPr>
                <w:rFonts w:ascii="仿宋_GB2312" w:hAnsi="仿宋_GB2312" w:cs="仿宋_GB2312" w:eastAsia="仿宋_GB2312"/>
              </w:rPr>
              <w:t>1服务应答表.docx 4磋商方案说明书.docx 5本项目拟投入人员汇总表.docx 中小企业声明函 报价表 8磋商报价表.docx 响应文件封面 2商务条款偏离表.docx 6资格证明文件.docx 残疾人福利性单位声明函 7其它资料.docx 标的清单 响应函 3供应商承诺书.docx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提供针对本项目需求的理解和分析程度：对项目的难点、要点及重点工作理解深入透彻，分析准确到位，思路清晰且充分考虑本项目实际情况，根据响应程度进行综合赋分： 1、理解透彻，思路清晰，计5分； 2、理解基本到位，理念及思路基本可行，计3分； 3、理解不透彻或不合理，计1分。未提供不计分。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4磋商方案说明书.docx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提供针对本项目的整体实施方案，包括①项目主体策划；②流程内容设计；③前期准备；④活动执行等。 方案各部分内容全面详细、阐述条理清晰详尽、符合本项目采购需求，能有效保障本项目实施的得12分。以上分项每缺少一项内容扣3分；有某一项不完整或不符合项目实际要求或不满足实施要求或套用其他项目内容的每项得（0-3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4磋商方案说明书.docx</w:t>
            </w:r>
          </w:p>
        </w:tc>
      </w:tr>
      <w:tr>
        <w:tc>
          <w:tcPr>
            <w:tcW w:type="dxa" w:w="831"/>
            <w:vMerge/>
          </w:tcPr>
          <w:p/>
        </w:tc>
        <w:tc>
          <w:tcPr>
            <w:tcW w:type="dxa" w:w="1661"/>
          </w:tcPr>
          <w:p>
            <w:pPr>
              <w:pStyle w:val="null3"/>
            </w:pPr>
            <w:r>
              <w:rPr>
                <w:rFonts w:ascii="仿宋_GB2312" w:hAnsi="仿宋_GB2312" w:cs="仿宋_GB2312" w:eastAsia="仿宋_GB2312"/>
              </w:rPr>
              <w:t>平台页面设计方案</w:t>
            </w:r>
          </w:p>
        </w:tc>
        <w:tc>
          <w:tcPr>
            <w:tcW w:type="dxa" w:w="2492"/>
          </w:tcPr>
          <w:p>
            <w:pPr>
              <w:pStyle w:val="null3"/>
            </w:pPr>
            <w:r>
              <w:rPr>
                <w:rFonts w:ascii="仿宋_GB2312" w:hAnsi="仿宋_GB2312" w:cs="仿宋_GB2312" w:eastAsia="仿宋_GB2312"/>
              </w:rPr>
              <w:t>提供针对本项目的平台页面设计方案，包括①系统总体架构；②活动主页及banner；③活动规则页面；④答题、打卡等小游戏页面；⑤抽奖主题页面等。 方案各部分内容全面详细、阐述条理清晰详尽、符合本项目采购需求，能有效保障本项目实施的得15分。以上分项每缺少一项内容扣3分；有某一项不完整或不符合项目实际要求或不满足实施要求或套用其他项目内容的每项得（0-3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4磋商方案说明书.docx</w:t>
            </w:r>
          </w:p>
        </w:tc>
      </w:tr>
      <w:tr>
        <w:tc>
          <w:tcPr>
            <w:tcW w:type="dxa" w:w="831"/>
            <w:vMerge/>
          </w:tcPr>
          <w:p/>
        </w:tc>
        <w:tc>
          <w:tcPr>
            <w:tcW w:type="dxa" w:w="1661"/>
          </w:tcPr>
          <w:p>
            <w:pPr>
              <w:pStyle w:val="null3"/>
            </w:pPr>
            <w:r>
              <w:rPr>
                <w:rFonts w:ascii="仿宋_GB2312" w:hAnsi="仿宋_GB2312" w:cs="仿宋_GB2312" w:eastAsia="仿宋_GB2312"/>
              </w:rPr>
              <w:t>平台功能开发方案</w:t>
            </w:r>
          </w:p>
        </w:tc>
        <w:tc>
          <w:tcPr>
            <w:tcW w:type="dxa" w:w="2492"/>
          </w:tcPr>
          <w:p>
            <w:pPr>
              <w:pStyle w:val="null3"/>
            </w:pPr>
            <w:r>
              <w:rPr>
                <w:rFonts w:ascii="仿宋_GB2312" w:hAnsi="仿宋_GB2312" w:cs="仿宋_GB2312" w:eastAsia="仿宋_GB2312"/>
              </w:rPr>
              <w:t>提供针对本项目的平台功能开发方案，包括①健步走微信小程序使用服务；②设计步数获取、统计、排名规则；③开发活动小游戏；④设计奖品发放规则（并承诺奖品数量不得低于1万份，奖品采购费用不低于投标金额的80%）；⑤验证工会会员身份信息等。 方案各部分内容全面详细、阐述条理清晰详尽、符合本项目采购需求，能有效保障本项目实施的得15分。以上分项每缺少一项内容扣3分；有某一项不完整或不符合项目实际要求或不满足实施要求或套用其他项目内容的每项得（0-3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4磋商方案说明书.docx</w:t>
            </w:r>
          </w:p>
        </w:tc>
      </w:tr>
      <w:tr>
        <w:tc>
          <w:tcPr>
            <w:tcW w:type="dxa" w:w="831"/>
            <w:vMerge/>
          </w:tcPr>
          <w:p/>
        </w:tc>
        <w:tc>
          <w:tcPr>
            <w:tcW w:type="dxa" w:w="1661"/>
          </w:tcPr>
          <w:p>
            <w:pPr>
              <w:pStyle w:val="null3"/>
            </w:pPr>
            <w:r>
              <w:rPr>
                <w:rFonts w:ascii="仿宋_GB2312" w:hAnsi="仿宋_GB2312" w:cs="仿宋_GB2312" w:eastAsia="仿宋_GB2312"/>
              </w:rPr>
              <w:t>平台运维保障方案</w:t>
            </w:r>
          </w:p>
        </w:tc>
        <w:tc>
          <w:tcPr>
            <w:tcW w:type="dxa" w:w="2492"/>
          </w:tcPr>
          <w:p>
            <w:pPr>
              <w:pStyle w:val="null3"/>
            </w:pPr>
            <w:r>
              <w:rPr>
                <w:rFonts w:ascii="仿宋_GB2312" w:hAnsi="仿宋_GB2312" w:cs="仿宋_GB2312" w:eastAsia="仿宋_GB2312"/>
              </w:rPr>
              <w:t>提供针对本项目的平台功能开发方案，包括①设计活动海报、撰写宣传软文、多平台推广等宣发服务方案；②活动数据生成、导出、分析分析服务方案；③活动奖品代采购和发放服务方案（并提供奖品明细及价格，单一产品价格不高于京东、天猫等主要电商平台官方旗舰店同产品最低价）。 方案各部分内容全面详细、阐述条理清晰详尽、符合本项目采购需求，能有效保障本项目实施的得9分。以上分项每缺少一项内容扣3分；有某一项不完整或不符合项目实际要求或不满足实施要求或套用其他项目内容的每项得（0-3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4磋商方案说明书.docx</w:t>
            </w:r>
          </w:p>
        </w:tc>
      </w:tr>
      <w:tr>
        <w:tc>
          <w:tcPr>
            <w:tcW w:type="dxa" w:w="831"/>
            <w:vMerge/>
          </w:tcPr>
          <w:p/>
        </w:tc>
        <w:tc>
          <w:tcPr>
            <w:tcW w:type="dxa" w:w="1661"/>
          </w:tcPr>
          <w:p>
            <w:pPr>
              <w:pStyle w:val="null3"/>
            </w:pPr>
            <w:r>
              <w:rPr>
                <w:rFonts w:ascii="仿宋_GB2312" w:hAnsi="仿宋_GB2312" w:cs="仿宋_GB2312" w:eastAsia="仿宋_GB2312"/>
              </w:rPr>
              <w:t>实施进度计划及保障措施</w:t>
            </w:r>
          </w:p>
        </w:tc>
        <w:tc>
          <w:tcPr>
            <w:tcW w:type="dxa" w:w="2492"/>
          </w:tcPr>
          <w:p>
            <w:pPr>
              <w:pStyle w:val="null3"/>
            </w:pPr>
            <w:r>
              <w:rPr>
                <w:rFonts w:ascii="仿宋_GB2312" w:hAnsi="仿宋_GB2312" w:cs="仿宋_GB2312" w:eastAsia="仿宋_GB2312"/>
              </w:rPr>
              <w:t>提供针对本项目的实施进度计划及保障措施。 1、进度计划与本项目紧密结合，针对性强，科学、合理，进度保障措施阐述全面、具体、详细，针对性、可行性强，切实满足采购需求，得5分； 2、进度计划基本满足本项目需求，保障措施基本可行，得3分； 3、进度计划及保障措施简单笼统，无针对性，得1分。未提供不得分。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4磋商方案说明书.docx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提供针对本项目可预见的情况（包括但不限于页面打不开、图片不显示、数据异常、数据无法加载、数据无法同步、网络安全等）的应急预案（包括：应急预案、应急处理响应时间、应急保障措施）。 1、预案内容全面，针对性强，处理响应时间及时、保障措施合理可行，得5分； 2、预案内容较完善有一定针对性，保障措施基本可行，得3分； 3、预案及保障措施简单笼统，无针对性，得1分。未提供不得分。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4磋商方案说明书.docx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本项目负责人取得关键证书（关键证书如：系统架构师、软件设计师、信息系统项目管理师、PMP认证、数据库系统工程师、系统集成项目管理工程师等）之一的，得2分。提供相关证书复印件，未提供不得分。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4磋商方案说明书.docx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1、供应商须针对本项目成立不少于3人的专项保障小组（活动期间负责项目的日常沟通、项目主题策划、流程内容设计、前期准备、活动执行、网络安全等工作），在此基础上每增加1人加1分，最高加2分。 2、提供人员配备与管理方案，要求有完善的服务团队，岗位设置齐全、分工明确等。 （1）人员配备完善充足、岗位设置齐全、分工明确、管理方案详细，得5分； （2）人员配备、岗位设置、分工及管理方案简单笼统，得3分； （3）人员配备不充足，岗位设置及分工简单、无针对性，管理方案不健全，得1分；未提供不得分。 备注：团队人员须提供在磋商截止日前一年内在本单位已缴存的至少一个月的社会保险参保缴费证明，否则对应项不得分。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4磋商方案说明书.docx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针对本项目特点，提供相应的增值服务及服务承诺。 1、增值服务内容有针对性强，且服务承诺合理有效、可行性强，得10分； 2、增值服务内容针对性较强，且服务承诺合理有效、可行性较强，得8分； 3、增值服务内容有一定针对性，且服务承诺有一定的合理性、可行性，得5分； 4、增值服务内容简单笼统，针对性不强，得2分；未提供不得分。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提供2022年4月至本项目磋商之日（以合同/协议书签订日期为准）类似项目业绩，提供1份有效业绩得1分，满分5分。未提供不得分。 备注：提供类似业绩合同/协议书（至少包括合同首页、合同金额所在页、签字盖章页、服务事项页、合同对应发票）证明材料复印件并加盖公章，弄虚作假者取消其成交资格。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详见附件：1服务应答表.docx</w:t>
      </w:r>
    </w:p>
    <w:p>
      <w:pPr>
        <w:pStyle w:val="null3"/>
        <w:ind w:firstLine="960"/>
      </w:pPr>
      <w:r>
        <w:rPr>
          <w:rFonts w:ascii="仿宋_GB2312" w:hAnsi="仿宋_GB2312" w:cs="仿宋_GB2312" w:eastAsia="仿宋_GB2312"/>
        </w:rPr>
        <w:t>详见附件：2商务条款偏离表.docx</w:t>
      </w:r>
    </w:p>
    <w:p>
      <w:pPr>
        <w:pStyle w:val="null3"/>
        <w:ind w:firstLine="960"/>
      </w:pPr>
      <w:r>
        <w:rPr>
          <w:rFonts w:ascii="仿宋_GB2312" w:hAnsi="仿宋_GB2312" w:cs="仿宋_GB2312" w:eastAsia="仿宋_GB2312"/>
        </w:rPr>
        <w:t>详见附件：3供应商承诺书.docx</w:t>
      </w:r>
    </w:p>
    <w:p>
      <w:pPr>
        <w:pStyle w:val="null3"/>
        <w:ind w:firstLine="960"/>
      </w:pPr>
      <w:r>
        <w:rPr>
          <w:rFonts w:ascii="仿宋_GB2312" w:hAnsi="仿宋_GB2312" w:cs="仿宋_GB2312" w:eastAsia="仿宋_GB2312"/>
        </w:rPr>
        <w:t>详见附件：4磋商方案说明书.docx</w:t>
      </w:r>
    </w:p>
    <w:p>
      <w:pPr>
        <w:pStyle w:val="null3"/>
        <w:ind w:firstLine="960"/>
      </w:pPr>
      <w:r>
        <w:rPr>
          <w:rFonts w:ascii="仿宋_GB2312" w:hAnsi="仿宋_GB2312" w:cs="仿宋_GB2312" w:eastAsia="仿宋_GB2312"/>
        </w:rPr>
        <w:t>详见附件：5本项目拟投入人员汇总表.docx</w:t>
      </w:r>
    </w:p>
    <w:p>
      <w:pPr>
        <w:pStyle w:val="null3"/>
        <w:ind w:firstLine="960"/>
      </w:pPr>
      <w:r>
        <w:rPr>
          <w:rFonts w:ascii="仿宋_GB2312" w:hAnsi="仿宋_GB2312" w:cs="仿宋_GB2312" w:eastAsia="仿宋_GB2312"/>
        </w:rPr>
        <w:t>详见附件：6资格证明文件.docx</w:t>
      </w:r>
    </w:p>
    <w:p>
      <w:pPr>
        <w:pStyle w:val="null3"/>
        <w:ind w:firstLine="960"/>
      </w:pPr>
      <w:r>
        <w:rPr>
          <w:rFonts w:ascii="仿宋_GB2312" w:hAnsi="仿宋_GB2312" w:cs="仿宋_GB2312" w:eastAsia="仿宋_GB2312"/>
        </w:rPr>
        <w:t>详见附件：7其它资料.docx</w:t>
      </w:r>
    </w:p>
    <w:p>
      <w:pPr>
        <w:pStyle w:val="null3"/>
        <w:ind w:firstLine="960"/>
      </w:pPr>
      <w:r>
        <w:rPr>
          <w:rFonts w:ascii="仿宋_GB2312" w:hAnsi="仿宋_GB2312" w:cs="仿宋_GB2312" w:eastAsia="仿宋_GB2312"/>
        </w:rPr>
        <w:t>详见附件：8磋商报价表.docx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{{未填写}}</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