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版本号：GXCZ-C-2557026120250509001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交通移动应急指挥平台维护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GXCZ-C-25570261</w:t>
      </w:r>
      <w:r>
        <w:br/>
      </w:r>
      <w:r>
        <w:br/>
      </w:r>
      <w:r>
        <w:br/>
      </w:r>
    </w:p>
    <w:p>
      <w:pPr>
        <w:pStyle w:val="null3"/>
        <w:jc w:val="center"/>
        <w:outlineLvl w:val="2"/>
      </w:pPr>
      <w:r>
        <w:rPr>
          <w:rFonts w:ascii="仿宋_GB2312" w:hAnsi="仿宋_GB2312" w:cs="仿宋_GB2312" w:eastAsia="仿宋_GB2312"/>
          <w:sz w:val="28"/>
          <w:b/>
        </w:rPr>
        <w:t>陕西省交通运行监测中心</w:t>
      </w:r>
    </w:p>
    <w:p>
      <w:pPr>
        <w:pStyle w:val="null3"/>
        <w:jc w:val="center"/>
        <w:outlineLvl w:val="2"/>
      </w:pPr>
      <w:r>
        <w:rPr>
          <w:rFonts w:ascii="仿宋_GB2312" w:hAnsi="仿宋_GB2312" w:cs="仿宋_GB2312" w:eastAsia="仿宋_GB2312"/>
          <w:sz w:val="28"/>
          <w:b/>
        </w:rPr>
        <w:t>国信招标集团股份有限公司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国信招标集团股份有限公司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交通移动应急指挥平台维护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GXCZ-C-25570261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交通移动应急指挥平台维护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供驻场专职司机和专职技术服务人员，通过对平台设备（见设备清单）的日常维护保养、硬件（含系统软件）故障的分析排除、设备维保、备件提供和更换；缴纳海事卫星通信费、4G互联网链路、vpdn链路、北斗卫星的服务费用，购买无人机的全年保险，保障平台原有设计的各项功能正常运行，并在突发应急事件和相关演练中提供应急值守人员前往应急车交通费用以及一些应急车常备物资和技术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采购包1（交通移动应急指挥平台维护）：属于专门面向中小企业采购。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肖君玲、贾天佼、刘洋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15637780510、13299087301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85%计算，向成交供应商收取代理服务费。按“服务类”收取。 户名：国信招标集团股份有限公司 开户银行：平安银行北京神华支行 虚拟账号：30206098008705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国信招标集团股份有限公司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陕西省交通运行监测中心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国信招标集团股份有限公司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国信招标集团股份有限公司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采购人按采购文件规定或采购合同的约定进行验收。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联系人：肖君玲、贾天佼、刘洋</w:t>
      </w:r>
    </w:p>
    <w:p>
      <w:pPr>
        <w:pStyle w:val="null3"/>
      </w:pPr>
      <w:r>
        <w:rPr>
          <w:rFonts w:ascii="仿宋_GB2312" w:hAnsi="仿宋_GB2312" w:cs="仿宋_GB2312" w:eastAsia="仿宋_GB2312"/>
        </w:rPr>
        <w:t>联系电话：15637780510、13299087301</w:t>
      </w:r>
    </w:p>
    <w:p>
      <w:pPr>
        <w:pStyle w:val="null3"/>
      </w:pPr>
      <w:r>
        <w:rPr>
          <w:rFonts w:ascii="仿宋_GB2312" w:hAnsi="仿宋_GB2312" w:cs="仿宋_GB2312" w:eastAsia="仿宋_GB2312"/>
        </w:rPr>
        <w:t>地址：陕西省西安市南二环成长大厦20楼</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供驻场专职司机和技术服务人员，通过对平台设备（见设备清单）的日常维护保养、硬件（含系统软件）故障的分析排除、设备维保、备件提供和更换；缴纳海事卫星通信费、4G互联网链路、vpdn链路、北斗卫星的服务费用，购买无人机的全年保险，保障平台原有设计的各项功能正常运行，并在突发应急事件和相关演练中提供应急值守人员前往应急车交通费用以及一些应急车常备物资和技术保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835,000.00</w:t>
      </w:r>
    </w:p>
    <w:p>
      <w:pPr>
        <w:pStyle w:val="null3"/>
      </w:pPr>
      <w:r>
        <w:rPr>
          <w:rFonts w:ascii="仿宋_GB2312" w:hAnsi="仿宋_GB2312" w:cs="仿宋_GB2312" w:eastAsia="仿宋_GB2312"/>
        </w:rPr>
        <w:t>采购包最高限价（元）: 835,000.00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交通移动应急指挥平台维护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标的名称：交通移动应急指挥平台维护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主要目标</w:t>
            </w:r>
          </w:p>
          <w:p>
            <w:pPr>
              <w:pStyle w:val="null3"/>
              <w:jc w:val="both"/>
            </w:pPr>
            <w:r>
              <w:rPr>
                <w:rFonts w:ascii="仿宋_GB2312" w:hAnsi="仿宋_GB2312" w:cs="仿宋_GB2312" w:eastAsia="仿宋_GB2312"/>
                <w:sz w:val="20"/>
              </w:rPr>
              <w:t>提供驻场专职司机和专职技术服务人员，</w:t>
            </w:r>
            <w:r>
              <w:rPr>
                <w:rFonts w:ascii="仿宋_GB2312" w:hAnsi="仿宋_GB2312" w:cs="仿宋_GB2312" w:eastAsia="仿宋_GB2312"/>
                <w:sz w:val="20"/>
              </w:rPr>
              <w:t>通过对平台设备（见设备清单）的日常维护保养、硬件（含系统软件）故障的分析排除、设备维保、备件提供和更换；</w:t>
            </w:r>
            <w:r>
              <w:rPr>
                <w:rFonts w:ascii="仿宋_GB2312" w:hAnsi="仿宋_GB2312" w:cs="仿宋_GB2312" w:eastAsia="仿宋_GB2312"/>
                <w:sz w:val="20"/>
              </w:rPr>
              <w:t>缴纳</w:t>
            </w:r>
            <w:r>
              <w:rPr>
                <w:rFonts w:ascii="仿宋_GB2312" w:hAnsi="仿宋_GB2312" w:cs="仿宋_GB2312" w:eastAsia="仿宋_GB2312"/>
                <w:sz w:val="20"/>
              </w:rPr>
              <w:t>海事卫星</w:t>
            </w:r>
            <w:r>
              <w:rPr>
                <w:rFonts w:ascii="仿宋_GB2312" w:hAnsi="仿宋_GB2312" w:cs="仿宋_GB2312" w:eastAsia="仿宋_GB2312"/>
                <w:sz w:val="20"/>
              </w:rPr>
              <w:t>通信费</w:t>
            </w:r>
            <w:r>
              <w:rPr>
                <w:rFonts w:ascii="仿宋_GB2312" w:hAnsi="仿宋_GB2312" w:cs="仿宋_GB2312" w:eastAsia="仿宋_GB2312"/>
                <w:sz w:val="20"/>
              </w:rPr>
              <w:t>、</w:t>
            </w:r>
            <w:r>
              <w:rPr>
                <w:rFonts w:ascii="仿宋_GB2312" w:hAnsi="仿宋_GB2312" w:cs="仿宋_GB2312" w:eastAsia="仿宋_GB2312"/>
                <w:sz w:val="20"/>
              </w:rPr>
              <w:t>4G互联网链路</w:t>
            </w:r>
            <w:r>
              <w:rPr>
                <w:rFonts w:ascii="仿宋_GB2312" w:hAnsi="仿宋_GB2312" w:cs="仿宋_GB2312" w:eastAsia="仿宋_GB2312"/>
                <w:sz w:val="20"/>
              </w:rPr>
              <w:t>、</w:t>
            </w:r>
            <w:r>
              <w:rPr>
                <w:rFonts w:ascii="仿宋_GB2312" w:hAnsi="仿宋_GB2312" w:cs="仿宋_GB2312" w:eastAsia="仿宋_GB2312"/>
                <w:sz w:val="20"/>
              </w:rPr>
              <w:t>vpdn链路</w:t>
            </w:r>
            <w:r>
              <w:rPr>
                <w:rFonts w:ascii="仿宋_GB2312" w:hAnsi="仿宋_GB2312" w:cs="仿宋_GB2312" w:eastAsia="仿宋_GB2312"/>
                <w:sz w:val="20"/>
              </w:rPr>
              <w:t>、</w:t>
            </w:r>
            <w:r>
              <w:rPr>
                <w:rFonts w:ascii="仿宋_GB2312" w:hAnsi="仿宋_GB2312" w:cs="仿宋_GB2312" w:eastAsia="仿宋_GB2312"/>
                <w:sz w:val="20"/>
              </w:rPr>
              <w:t>北斗卫星的</w:t>
            </w:r>
            <w:r>
              <w:rPr>
                <w:rFonts w:ascii="仿宋_GB2312" w:hAnsi="仿宋_GB2312" w:cs="仿宋_GB2312" w:eastAsia="仿宋_GB2312"/>
                <w:sz w:val="20"/>
              </w:rPr>
              <w:t>服务</w:t>
            </w:r>
            <w:r>
              <w:rPr>
                <w:rFonts w:ascii="仿宋_GB2312" w:hAnsi="仿宋_GB2312" w:cs="仿宋_GB2312" w:eastAsia="仿宋_GB2312"/>
                <w:sz w:val="20"/>
              </w:rPr>
              <w:t>费用，</w:t>
            </w:r>
            <w:r>
              <w:rPr>
                <w:rFonts w:ascii="仿宋_GB2312" w:hAnsi="仿宋_GB2312" w:cs="仿宋_GB2312" w:eastAsia="仿宋_GB2312"/>
                <w:sz w:val="20"/>
              </w:rPr>
              <w:t>购买</w:t>
            </w:r>
            <w:r>
              <w:rPr>
                <w:rFonts w:ascii="仿宋_GB2312" w:hAnsi="仿宋_GB2312" w:cs="仿宋_GB2312" w:eastAsia="仿宋_GB2312"/>
                <w:sz w:val="20"/>
              </w:rPr>
              <w:t>无人机的全年保险，保障平台原有设计的各项功能正常运行，并在突发应急事件和相关演练中提供应急值守人员</w:t>
            </w:r>
            <w:r>
              <w:rPr>
                <w:rFonts w:ascii="仿宋_GB2312" w:hAnsi="仿宋_GB2312" w:cs="仿宋_GB2312" w:eastAsia="仿宋_GB2312"/>
                <w:sz w:val="20"/>
              </w:rPr>
              <w:t>前往</w:t>
            </w:r>
            <w:r>
              <w:rPr>
                <w:rFonts w:ascii="仿宋_GB2312" w:hAnsi="仿宋_GB2312" w:cs="仿宋_GB2312" w:eastAsia="仿宋_GB2312"/>
                <w:sz w:val="20"/>
              </w:rPr>
              <w:t>应急车交通费用以及一些应急车常备物资</w:t>
            </w:r>
            <w:r>
              <w:rPr>
                <w:rFonts w:ascii="仿宋_GB2312" w:hAnsi="仿宋_GB2312" w:cs="仿宋_GB2312" w:eastAsia="仿宋_GB2312"/>
                <w:sz w:val="20"/>
              </w:rPr>
              <w:t>和技术保障</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现有</w:t>
            </w:r>
            <w:r>
              <w:rPr>
                <w:rFonts w:ascii="仿宋_GB2312" w:hAnsi="仿宋_GB2312" w:cs="仿宋_GB2312" w:eastAsia="仿宋_GB2312"/>
                <w:sz w:val="20"/>
                <w:b/>
              </w:rPr>
              <w:t>设备</w:t>
            </w:r>
          </w:p>
          <w:tbl>
            <w:tblPr>
              <w:tblBorders>
                <w:top w:val="none" w:color="000000" w:sz="4"/>
                <w:left w:val="none" w:color="000000" w:sz="4"/>
                <w:bottom w:val="none" w:color="000000" w:sz="4"/>
                <w:right w:val="none" w:color="000000" w:sz="4"/>
                <w:insideH w:val="none"/>
                <w:insideV w:val="none"/>
              </w:tblBorders>
            </w:tblPr>
            <w:tblGrid>
              <w:gridCol w:w="339"/>
              <w:gridCol w:w="1064"/>
              <w:gridCol w:w="474"/>
              <w:gridCol w:w="489"/>
              <w:gridCol w:w="354"/>
              <w:gridCol w:w="454"/>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0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品牌型号</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VSAT卫星通信天线</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1.2m）</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VSAT卫星通信射频模块定制</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卫星</w:t>
                  </w:r>
                  <w:r>
                    <w:rPr>
                      <w:rFonts w:ascii="仿宋_GB2312" w:hAnsi="仿宋_GB2312" w:cs="仿宋_GB2312" w:eastAsia="仿宋_GB2312"/>
                      <w:sz w:val="20"/>
                    </w:rPr>
                    <w:t>Modem</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H-Plus</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VoIP网关</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VHF/UHF车载电台</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摩托罗拉</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VHF/UHF手持电台</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摩托罗拉</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防火墙</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联想</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网络交换机</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思科</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卫星电视接收天线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卫星电视接收终端</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广播接收设备</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含有功放和室外扩音器</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便携专业摄像机</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索尼</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照相机</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佳能</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无线图传（含天线倒伏器）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视频会议终端</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宝利通</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视频会议终端</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思科</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主显示器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夏普</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副显示器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驾驶室桌面型显示器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三联屏</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机架式折叠显示器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振普</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混合矩阵</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V-Tech</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云台摄像机（含</w:t>
                  </w:r>
                  <w:r>
                    <w:rPr>
                      <w:rFonts w:ascii="仿宋_GB2312" w:hAnsi="仿宋_GB2312" w:cs="仿宋_GB2312" w:eastAsia="仿宋_GB2312"/>
                      <w:sz w:val="20"/>
                    </w:rPr>
                    <w:t>7米升降系统）</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数字调音台</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音王</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无线麦克风</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数字会议系统主机</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BOSCH</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嵌入式代表单元</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BOSCH</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外放功放</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皇冠</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车内功放</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外放喇叭</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车内扬声器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飞利浦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工控机（含采集卡软件会商系统）</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平衡支撑系统（</w:t>
                  </w:r>
                  <w:r>
                    <w:rPr>
                      <w:rFonts w:ascii="仿宋_GB2312" w:hAnsi="仿宋_GB2312" w:cs="仿宋_GB2312" w:eastAsia="仿宋_GB2312"/>
                      <w:sz w:val="20"/>
                    </w:rPr>
                    <w:t>4支撑腿）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倒车影像</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车内摄像机</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驾驶室摄像机</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3G/4G路由器（含年卡）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VHF/UHF车载电台（含天线倒伏器）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车载北斗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车载海事卫星电话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车载天通卫星电话</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柴油发电机</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熊猫</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中型应急车</w:t>
                  </w:r>
                  <w:r>
                    <w:rPr>
                      <w:rFonts w:ascii="仿宋_GB2312" w:hAnsi="仿宋_GB2312" w:cs="仿宋_GB2312" w:eastAsia="仿宋_GB2312"/>
                      <w:sz w:val="20"/>
                    </w:rPr>
                    <w:t>UPS电源</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SURT2000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中型应急车配电系统</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接地避雷子系统</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直流电源模块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中型应急车维修配电装置</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空调</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场地照明</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应急车内部照明</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大疆</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rPr>
              <w:t>维护要求</w:t>
            </w:r>
          </w:p>
          <w:p>
            <w:pPr>
              <w:pStyle w:val="null3"/>
              <w:numPr>
                <w:ilvl w:val="0"/>
                <w:numId w:val="1"/>
              </w:numPr>
              <w:jc w:val="both"/>
            </w:pPr>
            <w:r>
              <w:rPr>
                <w:rFonts w:ascii="仿宋_GB2312" w:hAnsi="仿宋_GB2312" w:cs="仿宋_GB2312" w:eastAsia="仿宋_GB2312"/>
                <w:sz w:val="20"/>
              </w:rPr>
              <w:t>承诺提供：（</w:t>
            </w:r>
            <w:r>
              <w:rPr>
                <w:rFonts w:ascii="仿宋_GB2312" w:hAnsi="仿宋_GB2312" w:cs="仿宋_GB2312" w:eastAsia="仿宋_GB2312"/>
                <w:sz w:val="20"/>
              </w:rPr>
              <w:t>1）双岗中型货车驾驶服务；（2）双岗车载应急设备技术保障服务，工作日5×8小时驻场，特情时期全天待命，全年365天（7×24小时）保持实时电话响应。</w:t>
            </w:r>
          </w:p>
          <w:p>
            <w:pPr>
              <w:pStyle w:val="null3"/>
              <w:numPr>
                <w:ilvl w:val="0"/>
                <w:numId w:val="1"/>
              </w:numPr>
              <w:jc w:val="both"/>
            </w:pPr>
            <w:r>
              <w:rPr>
                <w:rFonts w:ascii="仿宋_GB2312" w:hAnsi="仿宋_GB2312" w:cs="仿宋_GB2312" w:eastAsia="仿宋_GB2312"/>
                <w:sz w:val="20"/>
              </w:rPr>
              <w:t>所有交通移动应急指挥平台设备可能随时发生的一般故障，在接到故障申告时起，</w:t>
            </w:r>
            <w:r>
              <w:rPr>
                <w:rFonts w:ascii="仿宋_GB2312" w:hAnsi="仿宋_GB2312" w:cs="仿宋_GB2312" w:eastAsia="仿宋_GB2312"/>
                <w:sz w:val="20"/>
              </w:rPr>
              <w:t>1小时内到达故障现场，紧急故障在接到故障申告后30分钟内到达故障现场（西安市以外地区延长两个日历天）。</w:t>
            </w:r>
          </w:p>
          <w:p>
            <w:pPr>
              <w:pStyle w:val="null3"/>
              <w:numPr>
                <w:ilvl w:val="0"/>
                <w:numId w:val="1"/>
              </w:numPr>
              <w:jc w:val="both"/>
            </w:pPr>
            <w:r>
              <w:rPr>
                <w:rFonts w:ascii="仿宋_GB2312" w:hAnsi="仿宋_GB2312" w:cs="仿宋_GB2312" w:eastAsia="仿宋_GB2312"/>
                <w:sz w:val="20"/>
              </w:rPr>
              <w:t>到达故障现场时起，故障诊断时间不超过</w:t>
            </w:r>
            <w:r>
              <w:rPr>
                <w:rFonts w:ascii="仿宋_GB2312" w:hAnsi="仿宋_GB2312" w:cs="仿宋_GB2312" w:eastAsia="仿宋_GB2312"/>
                <w:sz w:val="20"/>
              </w:rPr>
              <w:t>1小时。系统恢复运行时间不超过2小时。</w:t>
            </w:r>
          </w:p>
          <w:p>
            <w:pPr>
              <w:pStyle w:val="null3"/>
              <w:numPr>
                <w:ilvl w:val="0"/>
                <w:numId w:val="1"/>
              </w:numPr>
              <w:jc w:val="both"/>
            </w:pPr>
            <w:r>
              <w:rPr>
                <w:rFonts w:ascii="仿宋_GB2312" w:hAnsi="仿宋_GB2312" w:cs="仿宋_GB2312" w:eastAsia="仿宋_GB2312"/>
                <w:sz w:val="20"/>
              </w:rPr>
              <w:t>如需要更换备件，在接到故障申告时起，</w:t>
            </w:r>
            <w:r>
              <w:rPr>
                <w:rFonts w:ascii="仿宋_GB2312" w:hAnsi="仿宋_GB2312" w:cs="仿宋_GB2312" w:eastAsia="仿宋_GB2312"/>
                <w:sz w:val="20"/>
              </w:rPr>
              <w:t>3小时内备件到达故障现场（西安市以外地区延长两天），部分特殊订制备件到场时间不超过14天，从备件到场时起，更换备件作业时间不超过2小时。</w:t>
            </w:r>
          </w:p>
          <w:p>
            <w:pPr>
              <w:pStyle w:val="null3"/>
              <w:numPr>
                <w:ilvl w:val="0"/>
                <w:numId w:val="1"/>
              </w:numPr>
              <w:jc w:val="both"/>
            </w:pPr>
            <w:r>
              <w:rPr>
                <w:rFonts w:ascii="仿宋_GB2312" w:hAnsi="仿宋_GB2312" w:cs="仿宋_GB2312" w:eastAsia="仿宋_GB2312"/>
                <w:sz w:val="20"/>
              </w:rPr>
              <w:t>每月一次，在现场对本次合同范围内的所有交通移动应急指挥平台设备进行常规检测，并详细记录检测内容和结果。对发现的故障隐患和不合理内容进行处理。</w:t>
            </w:r>
          </w:p>
          <w:p>
            <w:pPr>
              <w:pStyle w:val="null3"/>
              <w:numPr>
                <w:ilvl w:val="0"/>
                <w:numId w:val="1"/>
              </w:numPr>
              <w:jc w:val="both"/>
            </w:pPr>
            <w:r>
              <w:rPr>
                <w:rFonts w:ascii="仿宋_GB2312" w:hAnsi="仿宋_GB2312" w:cs="仿宋_GB2312" w:eastAsia="仿宋_GB2312"/>
                <w:sz w:val="20"/>
              </w:rPr>
              <w:t>两月一次派遣技术</w:t>
            </w:r>
            <w:r>
              <w:rPr>
                <w:rFonts w:ascii="仿宋_GB2312" w:hAnsi="仿宋_GB2312" w:cs="仿宋_GB2312" w:eastAsia="仿宋_GB2312"/>
                <w:sz w:val="20"/>
              </w:rPr>
              <w:t>人员</w:t>
            </w:r>
            <w:r>
              <w:rPr>
                <w:rFonts w:ascii="仿宋_GB2312" w:hAnsi="仿宋_GB2312" w:cs="仿宋_GB2312" w:eastAsia="仿宋_GB2312"/>
                <w:sz w:val="20"/>
              </w:rPr>
              <w:t>对所有交通移动应急指挥平台设备进行</w:t>
            </w:r>
            <w:r>
              <w:rPr>
                <w:rFonts w:ascii="仿宋_GB2312" w:hAnsi="仿宋_GB2312" w:cs="仿宋_GB2312" w:eastAsia="仿宋_GB2312"/>
                <w:sz w:val="20"/>
              </w:rPr>
              <w:t>详细</w:t>
            </w:r>
            <w:r>
              <w:rPr>
                <w:rFonts w:ascii="仿宋_GB2312" w:hAnsi="仿宋_GB2312" w:cs="仿宋_GB2312" w:eastAsia="仿宋_GB2312"/>
                <w:sz w:val="20"/>
              </w:rPr>
              <w:t>检测，并详细记录检测内容和结果。对随时发现的故障和不合理的使用进行解决和纠正。在现场对所有设备进行运行日志分析，发现潜在的硬件故障，并着手对故障进行解决。</w:t>
            </w:r>
          </w:p>
          <w:p>
            <w:pPr>
              <w:pStyle w:val="null3"/>
              <w:numPr>
                <w:ilvl w:val="0"/>
                <w:numId w:val="1"/>
              </w:numPr>
              <w:jc w:val="both"/>
            </w:pPr>
            <w:r>
              <w:rPr>
                <w:rFonts w:ascii="仿宋_GB2312" w:hAnsi="仿宋_GB2312" w:cs="仿宋_GB2312" w:eastAsia="仿宋_GB2312"/>
                <w:sz w:val="20"/>
              </w:rPr>
              <w:t>对维护范围内的所有设备的故障排除、运行监测、检测和备件更换等所有操作都应有文字记录；每月</w:t>
            </w:r>
            <w:r>
              <w:rPr>
                <w:rFonts w:ascii="仿宋_GB2312" w:hAnsi="仿宋_GB2312" w:cs="仿宋_GB2312" w:eastAsia="仿宋_GB2312"/>
                <w:sz w:val="20"/>
              </w:rPr>
              <w:t>5号前以邮件简报方式提交上月维护报告；每年年末汇报总结全年的维护情况，并提交下一年的维护规划。</w:t>
            </w:r>
          </w:p>
          <w:p>
            <w:pPr>
              <w:pStyle w:val="null3"/>
              <w:numPr>
                <w:ilvl w:val="0"/>
                <w:numId w:val="1"/>
              </w:numPr>
              <w:jc w:val="both"/>
            </w:pPr>
            <w:r>
              <w:rPr>
                <w:rFonts w:ascii="仿宋_GB2312" w:hAnsi="仿宋_GB2312" w:cs="仿宋_GB2312" w:eastAsia="仿宋_GB2312"/>
                <w:sz w:val="20"/>
              </w:rPr>
              <w:t>每月一次，打扫交通移动应急指挥平台机柜内部。每年两次清理本次合同范围内的设备机箱内部的灰尘。</w:t>
            </w:r>
          </w:p>
          <w:p>
            <w:pPr>
              <w:pStyle w:val="null3"/>
              <w:numPr>
                <w:ilvl w:val="0"/>
                <w:numId w:val="1"/>
              </w:numPr>
              <w:jc w:val="both"/>
            </w:pPr>
            <w:r>
              <w:rPr>
                <w:rFonts w:ascii="仿宋_GB2312" w:hAnsi="仿宋_GB2312" w:cs="仿宋_GB2312" w:eastAsia="仿宋_GB2312"/>
                <w:sz w:val="20"/>
              </w:rPr>
              <w:t>一年两次应急演练，提供现场保障服务。</w:t>
            </w:r>
          </w:p>
          <w:p>
            <w:pPr>
              <w:pStyle w:val="null3"/>
              <w:numPr>
                <w:ilvl w:val="0"/>
                <w:numId w:val="1"/>
              </w:numPr>
              <w:jc w:val="both"/>
            </w:pPr>
            <w:r>
              <w:rPr>
                <w:rFonts w:ascii="仿宋_GB2312" w:hAnsi="仿宋_GB2312" w:cs="仿宋_GB2312" w:eastAsia="仿宋_GB2312"/>
                <w:sz w:val="20"/>
              </w:rPr>
              <w:t>做好与省交通监测调度平台的通讯连线保障工作。</w:t>
            </w:r>
          </w:p>
          <w:p>
            <w:pPr>
              <w:pStyle w:val="null3"/>
              <w:numPr>
                <w:ilvl w:val="0"/>
                <w:numId w:val="1"/>
              </w:numPr>
              <w:jc w:val="both"/>
            </w:pPr>
            <w:r>
              <w:rPr>
                <w:rFonts w:ascii="仿宋_GB2312" w:hAnsi="仿宋_GB2312" w:cs="仿宋_GB2312" w:eastAsia="仿宋_GB2312"/>
                <w:sz w:val="20"/>
              </w:rPr>
              <w:t>一年中对柴油发电机进行两次例行的保养。</w:t>
            </w:r>
          </w:p>
          <w:p>
            <w:pPr>
              <w:pStyle w:val="null3"/>
              <w:numPr>
                <w:ilvl w:val="0"/>
                <w:numId w:val="1"/>
              </w:numPr>
              <w:jc w:val="both"/>
            </w:pPr>
            <w:r>
              <w:rPr>
                <w:rFonts w:ascii="仿宋_GB2312" w:hAnsi="仿宋_GB2312" w:cs="仿宋_GB2312" w:eastAsia="仿宋_GB2312"/>
                <w:sz w:val="20"/>
              </w:rPr>
              <w:t>供应商</w:t>
            </w:r>
            <w:r>
              <w:rPr>
                <w:rFonts w:ascii="仿宋_GB2312" w:hAnsi="仿宋_GB2312" w:cs="仿宋_GB2312" w:eastAsia="仿宋_GB2312"/>
                <w:sz w:val="20"/>
              </w:rPr>
              <w:t>需参加</w:t>
            </w:r>
            <w:r>
              <w:rPr>
                <w:rFonts w:ascii="仿宋_GB2312" w:hAnsi="仿宋_GB2312" w:cs="仿宋_GB2312" w:eastAsia="仿宋_GB2312"/>
                <w:sz w:val="20"/>
              </w:rPr>
              <w:t>采购人</w:t>
            </w:r>
            <w:r>
              <w:rPr>
                <w:rFonts w:ascii="仿宋_GB2312" w:hAnsi="仿宋_GB2312" w:cs="仿宋_GB2312" w:eastAsia="仿宋_GB2312"/>
                <w:sz w:val="20"/>
              </w:rPr>
              <w:t>组织的运维单位考核，按照《陕西省交通运行监测中心信息化系统运维服务考核办法》执行。</w:t>
            </w:r>
          </w:p>
          <w:p>
            <w:pPr>
              <w:pStyle w:val="null3"/>
              <w:numPr>
                <w:ilvl w:val="0"/>
                <w:numId w:val="1"/>
              </w:numPr>
              <w:jc w:val="both"/>
            </w:pPr>
            <w:r>
              <w:rPr>
                <w:rFonts w:ascii="仿宋_GB2312" w:hAnsi="仿宋_GB2312" w:cs="仿宋_GB2312" w:eastAsia="仿宋_GB2312"/>
                <w:sz w:val="20"/>
              </w:rPr>
              <w:t>合同期满，运维项目必须通过</w:t>
            </w:r>
            <w:r>
              <w:rPr>
                <w:rFonts w:ascii="仿宋_GB2312" w:hAnsi="仿宋_GB2312" w:cs="仿宋_GB2312" w:eastAsia="仿宋_GB2312"/>
                <w:sz w:val="20"/>
              </w:rPr>
              <w:t>采购人</w:t>
            </w:r>
            <w:r>
              <w:rPr>
                <w:rFonts w:ascii="仿宋_GB2312" w:hAnsi="仿宋_GB2312" w:cs="仿宋_GB2312" w:eastAsia="仿宋_GB2312"/>
                <w:sz w:val="20"/>
              </w:rPr>
              <w:t>验收，验收工作费用由运维单位承担。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承诺提供：（1）双岗中型货车驾驶服务；（2）双岗车载应急设备技术保障服务，工作日5×8小时驻场，特情时期全天待命，全年365天（7×24小时）保持实时电话响应。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自2025年7月1日至2026年6月30日。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1.供应商需参加采购人组织的运维单位考核，按照《陕西省交通运行监测中心信息化系统运维服务考核办法》执行。 2.合同期满，运维项目必须通过采购人验收，验收工作费用由运维单位承担。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合同签订后供应商必须提供相应发票给采购人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 2.未按合同或政府采购招投标文件要求提供产品、服务，或供应的产品、服务质量不能满足甲方技术要求，经书面告知在合理期限内整改但仍不予调整的，甲方有权终止合同，并有权对供应商违约行为进行追究。 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 4.甲方的违约责任 甲方因自身原因不按合同约定向乙方付款，每逾期一天，须按迟延付款额的_0.01%_向乙方支付延期付款的违约金。 甲方不按照合同约定提供相关资料及其它协作事项的，应提前7个日历天书面通知乙方，项目完成时间予以顺延。 5.乙方的违约责任 乙方未按照本合同约定保质保量提供产品或服务，经甲方催告后履行仍不符合合同约定的，甲方有权解除本合同，同时有权要求乙方按照合同价款的10%承担违约金。甲方维权支付的诉讼费、保全费、律师费等费用由乙方承担。 合同履行期限结束，乙方未能按期完成服务期限的内容，乙方应继续履行自身义务直至符合合同约定。同时从合同履行期限届满之日开始起算，每逾期一天按合同总金额的 0.03% 向甲方支付违约金。 若本项目经甲方验收不合格，甲方有权要求乙方在10日历天内整改完善，乙方必须予以整改完善。因此导致成果逾期提交的，履行期限不予顺延，每逾期一天，应按合同总金额的0.03%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30%，但甲方的实际损失超过合同总金额30%的，乙方应当承担补足责任。 甲乙双方任何一方违反保密义务的，违约方应向对方支付合同总金额10%的违约金，违约金不足以弥补对方损失的还应当承担补足责任。 乙方没有甲方的书面同意转让合同或将项目的全部或部分分包或转包出去，甲方可向乙方发出书面违约通知书，提出终止部分或全部合同。若甲方部分终止合同的，乙方应继续履行合同其他义务，并按照合同金额的10%支付违约金。若甲方全部终止合同的，乙方应按合同总金额30%的支付违约金。同时甲方的实际损失超过合同总金额30%的，乙方应当承担补足责任。 乙方违反合同约定的其它责任、义务视为违约，需向甲方支付合同总价款的30%违约金。同时甲方的实际损失超过合同总金额30%的，乙方应当承担补足责任。 合同争议的解决 合同执行中发生争议的，当事人双方应协商解决，协商达不成一致时，可向甲方所在地人民法院提请诉讼。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必须满足采购人提出的各项管理要求和指标，同时对于业务调整或行业要求引起的岗位设置、岗位职责、操作要求等变化按采购人要求及时调整，其费用包含在总费用之中，并且在规定时限内完成人员调整、培训等相关工作，以确保日常工作的正常有序进行。 2.成交供应商应接受采购人的考核和监督，并建立完整的管理制度和工作流程来保证采购人的工作指导和监督得以实现。 3.成交供应商应定期对服务提供情况进行总结分析，并书面向采购人提交相关报告。其中，月度的工作总结应包含以下内容： （1）人员在册考勤情况； （2）人员月度考核情况； （3）月度工作情况及下月工作计划。 4.成交供应商在合同金额内应落实专项培训经费，有计划地组织定期、不定期业务培训，提高聘用人员业务水平；在业务需求变化的情况下，应根据采购人要求及时开展相应的业务培训。 5.安全保密：签订《交通移动应急指挥平台维护技术服务保密协议》，确保信息安全。 6.质量标准：符合国家及行业质量验收合格标准。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整体专门面向中小企业采购。承接服务供应商应为中小企业，即提供服务的人员为中小企业依照《中华人民共和国劳动合同法》订立劳动合同的从业人员。中小企业须符合本项目采购标的对应行业（软件和信息技术服务业）的政策划分标准。监狱企业、残疾人福利单位视同小型、微型企业。注：中小企业应填写的《中小企业声明函》（见响应文件格式）可为判定标准，残疾人福利性单位填写的《残疾人福利性单位声明函》（见响应文件格式）可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磋商小组认为供应商响应报价明显低于市场价格，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其他资格证明文件 政府采购供应商拒绝政府采购领域商业贿赂承诺书 分项报价表 响应承诺书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符合磋商文件第三章“3.3商务要求”。</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符合磋商文件第三章“3.2服务内容及服务要求响应”中★条款要求。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供应商应满足磋商文件的实质性要求，也不得存在磋商文件规定的无效情形。</w:t>
            </w:r>
          </w:p>
        </w:tc>
        <w:tc>
          <w:tcPr>
            <w:tcW w:type="dxa" w:w="1661"/>
          </w:tcPr>
          <w:p>
            <w:pPr>
              <w:pStyle w:val="null3"/>
            </w:pPr>
            <w:r>
              <w:rPr>
                <w:rFonts w:ascii="仿宋_GB2312" w:hAnsi="仿宋_GB2312" w:cs="仿宋_GB2312" w:eastAsia="仿宋_GB2312"/>
              </w:rPr>
              <w:t>政府采购供应商拒绝政府采购领域商业贿赂承诺书 响应承诺书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项目总体分析</w:t>
            </w:r>
          </w:p>
        </w:tc>
        <w:tc>
          <w:tcPr>
            <w:tcW w:type="dxa" w:w="2492"/>
          </w:tcPr>
          <w:p>
            <w:pPr>
              <w:pStyle w:val="null3"/>
            </w:pPr>
            <w:r>
              <w:rPr>
                <w:rFonts w:ascii="仿宋_GB2312" w:hAnsi="仿宋_GB2312" w:cs="仿宋_GB2312" w:eastAsia="仿宋_GB2312"/>
              </w:rPr>
              <w:t>根据供应商对项目总体认知和理解（内容包括但不限于项目背景、采购需求及意义等）进行综合评审： 1.对本项目的背景、采购需求、系统构成、原理等理解全面、透彻、解读准确，得15分； 2.对本项目的背景、采购需求及意义有较好的理解，得11分； 3.对本项目的背景、采购需求及意义理解不到位，得7分； 4.未提供或其他情况不得分。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服务方案（包括但不限于日常维护保养、硬件（含系统软件）故障的分析排除、设备质保、备件管理和更换，系统的优化建议、调整、配置等工作保障其正常运行方面），以及采购需求等进行评审： 1.服务方案内容全面完善、切实可行、有针对性，完全满足项目采购要求，得20分； 2.服务方案内容比较全面完善、切实可行，比较有针对性，基本满足项目采购要求，得14分； 3.服务方案内容不够全面完善、切实可行，针对性较差，部分满足项目采购要求，得8分； 4.未提供或其他情况不得分。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计划、进度及保障措施</w:t>
            </w:r>
          </w:p>
        </w:tc>
        <w:tc>
          <w:tcPr>
            <w:tcW w:type="dxa" w:w="2492"/>
          </w:tcPr>
          <w:p>
            <w:pPr>
              <w:pStyle w:val="null3"/>
            </w:pPr>
            <w:r>
              <w:rPr>
                <w:rFonts w:ascii="仿宋_GB2312" w:hAnsi="仿宋_GB2312" w:cs="仿宋_GB2312" w:eastAsia="仿宋_GB2312"/>
              </w:rPr>
              <w:t>根据供应商提供的计划、进度及保障措施（包括但不限于详实的项目组织计划、进度安排、工作节点、管理制度、人员安排等）进行综合评审； 1.工作计划目标明确，进度安排方案科学合理，计划保障措施全面及可行性高，得10分； 2.工作计划目标明确，有一定的进度安排及计划保障措施，且内容基本满足项目需求，得7分； 3.无工作计划目标及计划保障措施，或工作计划目标及计划保证措施有明显缺陷且无法保障服务进度，得4分。 4.未提供或其他情况不得分。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重点、难点及解决方案</w:t>
            </w:r>
          </w:p>
        </w:tc>
        <w:tc>
          <w:tcPr>
            <w:tcW w:type="dxa" w:w="2492"/>
          </w:tcPr>
          <w:p>
            <w:pPr>
              <w:pStyle w:val="null3"/>
            </w:pPr>
            <w:r>
              <w:rPr>
                <w:rFonts w:ascii="仿宋_GB2312" w:hAnsi="仿宋_GB2312" w:cs="仿宋_GB2312" w:eastAsia="仿宋_GB2312"/>
              </w:rPr>
              <w:t>根据供应商对本项目的重点、难点分析及对应解决方案，对本项目的重点把握突出、难点分析到位、提出针对性解决方案进行综合评审； 1.全面完善、切实可行、满足磋商文件要求，得10分； 2.基本完善、切实可行、基本磋商文件要求，得7分； 3.不完全满足磋商文件要求，得4分； 4.未提供或其他情况不得分。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质量管理措施</w:t>
            </w:r>
          </w:p>
        </w:tc>
        <w:tc>
          <w:tcPr>
            <w:tcW w:type="dxa" w:w="2492"/>
          </w:tcPr>
          <w:p>
            <w:pPr>
              <w:pStyle w:val="null3"/>
            </w:pPr>
            <w:r>
              <w:rPr>
                <w:rFonts w:ascii="仿宋_GB2312" w:hAnsi="仿宋_GB2312" w:cs="仿宋_GB2312" w:eastAsia="仿宋_GB2312"/>
              </w:rPr>
              <w:t>根据项目特点制订相应质量管理措施进行综合评审： 1.质量管理措施全面、有效，完全满足项目需求，得10分； 2.质量管理措施基本完整，能满足项目基本需求的，得7分； 3.质量管理措施粗略、简单，基本能满足项目需求，得4分； 4.未提供或其他情况不得分。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根据供应商提供的突发事件应急保障措施（包括但不限于日常风险分析、突发状况、硬软件故障等排查、响应、补救及解决等）进行综合评审： 1.应急预案科学合理、针对性强，得7分； 2.应急预案合理性、针对性一般，得4分； 3.应急预案合理性、针对性不足的，得1分； 4.未提供或其他情况不得分。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根据供应商针对本项目提供的售后服务及培训方案（包括但不限于服务范围、服务效率、服务标准、服务承诺、培训计划、培训内容、培训方式、培训人员安排等）进行综合评审： 1.方案详细全面，满足磋商文件要求，得8分； 2.方案完整可行，基本满足磋商文件要求，得5分； 3.方案不完整可行，不完全满足磋商文件要求，得2分； 4.未提供或其他情况不得分。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从2021年1月1日起至磋商响应文件递交截止时间完成类似项目业绩，每提供一份，得2分，最多的10分。 注：以磋商响应文件中所附的合同复印件。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满足竞争性磋商文件要求且最低的磋商报价为评审基准价，其价格分为满分。 各供应商的报价得分按下列公式计算： 报价得分=（基准价/磋商报价）×10 磋商报价不完整的，不计入磋商基准价的计算，本项得0分。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首轮报价表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详见附件：供应商业绩一览表</w:t>
      </w:r>
    </w:p>
    <w:p>
      <w:pPr>
        <w:pStyle w:val="null3"/>
        <w:ind w:firstLine="960"/>
      </w:pPr>
      <w:r>
        <w:rPr>
          <w:rFonts w:ascii="仿宋_GB2312" w:hAnsi="仿宋_GB2312" w:cs="仿宋_GB2312" w:eastAsia="仿宋_GB2312"/>
        </w:rPr>
        <w:t>详见附件：其他资格证明文件</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