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版本号：GXCZ-C-2557026020250508001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交通网络安全态势感知平台运维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GXCZ-C-25570260</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国信招标集团股份有限公司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交通网络安全态势感知平台运维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GXCZ-C-25570260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交通网络安全态势感知平台运维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交通运输网络安全态势感知及监测预警信息平台，实现对省交通运输厅、重要直属单位及地市网络节点进行网络安全威胁的监测，以及对省交通行业网络的安全态势感知及监测预警，平台针对特定保护对象所遭受的各类攻击进行趋势分析和展示，可实现对重点单位及网络节点的各个业务系统的漏洞扫描、流量采集、设备日志的采集，同时对重要门户网站进行监测，能够提高陕西省交通运输行业网络安全风险态势感知和评估能力。系统在省厅、省公路局等7家重点单位和节点部署数据采集探针、僵木蠕检测探针和网络流量镜像设备，在13个地市交通专网汇聚节点部署数据采集探针。通过运维服务实现现有安全态势感知平台相关网络安全产品续保服务，对所有硬件、软件等开展网络安全维保服务。并具有专职技术工程师提供5*8小时驻场服务，同时提供专业级在线技术支持，确保系统发生故障时能第一时间处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采购包1（交通网络安全态势感知平台运维）：属于专门面向中小企业采购。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采购包1：654,300.00元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虚拟账号：30206098008808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采购人按采购文件规定或采购合同的约定进行验收。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联系人：肖君玲、贾天佼、刘洋</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地址：陕西省西安市南二环成长大厦20楼</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通运输网络安全态势感知及监测预警信息平台，实现对省交通运输厅、重要直属单位及地市网络节点进行网络安全威胁的监测，以及对省交通行业网络的安全态势感知及监测预警，平台针对特定保护对象所遭受的各类攻击进行趋势分析和展示，可实现对重点单位及网络节点的各个业务系统的漏洞扫描、流量采集、设备日志的采集，同时对重要门户网站进行监测，能够提高陕西省交通运输行业网络安全风险态势感知和评估能力。系统在省厅、省公路局等7家重点单位和节点部署数据采集探针、僵木蠕检测探针和网络流量镜像设备，在13个地市交通专网汇聚节点部署数据采集探针。通过运维服务实现现有安全态势感知平台相关网络安全产品续保服务，对所有硬件、软件等开展网络安全维保服务。并具有专职技术工程师提供5*8小时驻场服务，同时提供专业级在线技术支持，确保系统发生故障时能第一时间处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654,300.00</w:t>
      </w:r>
    </w:p>
    <w:p>
      <w:pPr>
        <w:pStyle w:val="null3"/>
      </w:pPr>
      <w:r>
        <w:rPr>
          <w:rFonts w:ascii="仿宋_GB2312" w:hAnsi="仿宋_GB2312" w:cs="仿宋_GB2312" w:eastAsia="仿宋_GB2312"/>
        </w:rPr>
        <w:t>采购包最高限价（元）: 654,300.00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交通网络安全态势感知平台运维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654,300.00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标的名称：交通网络安全态势感知平台运维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采购内容</w:t>
            </w:r>
          </w:p>
          <w:p>
            <w:pPr>
              <w:pStyle w:val="null3"/>
              <w:jc w:val="both"/>
            </w:pPr>
            <w:r>
              <w:rPr>
                <w:rFonts w:ascii="仿宋_GB2312" w:hAnsi="仿宋_GB2312" w:cs="仿宋_GB2312" w:eastAsia="仿宋_GB2312"/>
                <w:sz w:val="20"/>
              </w:rPr>
              <w:t>陕西省交通运输网络安全态势感知及监测预警信息平台，实现对省交通运输厅、重要直属单位及地市网络节点进行网络安全威胁的监测，以及对省交通行业网络的安全态势感知及监测预警，平台针对特定保护对象所遭受的各类攻击进行趋势分析和展示，可实现对重点单位及网络节点的各个业务系统的漏洞扫描、流量采集、设备日志的采集，同时对重要门户网站进行监测，能够提高陕西省交通运输行业网络安全风险态势感知和评估能力。通过实现可对网络攻击、病毒、木马、黑客、钓鱼等网络安全事件的线索发现和通报预警，提高行业网络安全风险预警和应急处置能力。</w:t>
            </w:r>
          </w:p>
          <w:p>
            <w:pPr>
              <w:pStyle w:val="null3"/>
              <w:jc w:val="both"/>
            </w:pPr>
            <w:r>
              <w:rPr>
                <w:rFonts w:ascii="仿宋_GB2312" w:hAnsi="仿宋_GB2312" w:cs="仿宋_GB2312" w:eastAsia="仿宋_GB2312"/>
                <w:sz w:val="20"/>
              </w:rPr>
              <w:t>系统在省厅、省公路局等</w:t>
            </w:r>
            <w:r>
              <w:rPr>
                <w:rFonts w:ascii="仿宋_GB2312" w:hAnsi="仿宋_GB2312" w:cs="仿宋_GB2312" w:eastAsia="仿宋_GB2312"/>
                <w:sz w:val="20"/>
              </w:rPr>
              <w:t>7家重点单位和节点部署数据采集探针、僵木蠕检测探针和网络流量镜像设备，在13个地市交通专网汇聚节点部署数据采集探针。</w:t>
            </w:r>
          </w:p>
          <w:p>
            <w:pPr>
              <w:pStyle w:val="null3"/>
            </w:pP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安全产品续服</w:t>
            </w:r>
          </w:p>
          <w:p>
            <w:pPr>
              <w:pStyle w:val="null3"/>
              <w:jc w:val="both"/>
            </w:pPr>
            <w:r>
              <w:rPr>
                <w:rFonts w:ascii="仿宋_GB2312" w:hAnsi="仿宋_GB2312" w:cs="仿宋_GB2312" w:eastAsia="仿宋_GB2312"/>
                <w:sz w:val="20"/>
              </w:rPr>
              <w:t>★本次网络安全产品续服包含产品如下：</w:t>
            </w:r>
          </w:p>
          <w:tbl>
            <w:tblPr>
              <w:tblInd w:type="dxa" w:w="120"/>
              <w:tblBorders>
                <w:top w:val="none" w:color="000000" w:sz="4"/>
                <w:left w:val="none" w:color="000000" w:sz="4"/>
                <w:bottom w:val="none" w:color="000000" w:sz="4"/>
                <w:right w:val="none" w:color="000000" w:sz="4"/>
                <w:insideH w:val="none"/>
                <w:insideV w:val="none"/>
              </w:tblBorders>
            </w:tblPr>
            <w:tblGrid>
              <w:gridCol w:w="321"/>
              <w:gridCol w:w="1003"/>
              <w:gridCol w:w="493"/>
              <w:gridCol w:w="458"/>
              <w:gridCol w:w="372"/>
              <w:gridCol w:w="527"/>
            </w:tblGrid>
            <w:tr>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品牌</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型号</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续服年限</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网络安全态势感知及检测预警平台</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ISOP</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1年</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安全数据采集探针</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NCSS</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1年</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03"/>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UTS</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1年</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资产扫描探针</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NCSS</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1年</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网站安全监测引擎</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WSMH</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1年</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僵木蠕检测探针系统</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绿盟</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UTS</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1年</w:t>
                  </w:r>
                </w:p>
              </w:tc>
            </w:tr>
          </w:tbl>
          <w:p>
            <w:pPr>
              <w:pStyle w:val="null3"/>
            </w:pPr>
            <w:r>
              <w:rPr>
                <w:rFonts w:ascii="仿宋_GB2312" w:hAnsi="仿宋_GB2312" w:cs="仿宋_GB2312" w:eastAsia="仿宋_GB2312"/>
                <w:sz w:val="20"/>
                <w:b/>
              </w:rPr>
              <w:t>注：</w:t>
            </w:r>
            <w:r>
              <w:rPr>
                <w:rFonts w:ascii="仿宋_GB2312" w:hAnsi="仿宋_GB2312" w:cs="仿宋_GB2312" w:eastAsia="仿宋_GB2312"/>
                <w:sz w:val="20"/>
                <w:b/>
              </w:rPr>
              <w:t>“★”号标记的安全产品续服要求内容为重要技术项条件，供应商须全部满足。同时，</w:t>
            </w:r>
            <w:r>
              <w:rPr>
                <w:rFonts w:ascii="仿宋_GB2312" w:hAnsi="仿宋_GB2312" w:cs="仿宋_GB2312" w:eastAsia="仿宋_GB2312"/>
                <w:sz w:val="20"/>
                <w:b/>
              </w:rPr>
              <w:t>供应商提供</w:t>
            </w:r>
            <w:r>
              <w:rPr>
                <w:rFonts w:ascii="仿宋_GB2312" w:hAnsi="仿宋_GB2312" w:cs="仿宋_GB2312" w:eastAsia="仿宋_GB2312"/>
                <w:sz w:val="20"/>
                <w:b/>
              </w:rPr>
              <w:t>具有</w:t>
            </w:r>
            <w:r>
              <w:rPr>
                <w:rFonts w:ascii="仿宋_GB2312" w:hAnsi="仿宋_GB2312" w:cs="仿宋_GB2312" w:eastAsia="仿宋_GB2312"/>
                <w:sz w:val="20"/>
                <w:b/>
              </w:rPr>
              <w:t>维保服务</w:t>
            </w:r>
            <w:r>
              <w:rPr>
                <w:rFonts w:ascii="仿宋_GB2312" w:hAnsi="仿宋_GB2312" w:cs="仿宋_GB2312" w:eastAsia="仿宋_GB2312"/>
                <w:sz w:val="20"/>
                <w:b/>
              </w:rPr>
              <w:t>能力</w:t>
            </w:r>
            <w:r>
              <w:rPr>
                <w:rFonts w:ascii="仿宋_GB2312" w:hAnsi="仿宋_GB2312" w:cs="仿宋_GB2312" w:eastAsia="仿宋_GB2312"/>
                <w:sz w:val="20"/>
                <w:b/>
              </w:rPr>
              <w:t>的</w:t>
            </w:r>
            <w:r>
              <w:rPr>
                <w:rFonts w:ascii="仿宋_GB2312" w:hAnsi="仿宋_GB2312" w:cs="仿宋_GB2312" w:eastAsia="仿宋_GB2312"/>
                <w:sz w:val="20"/>
                <w:b/>
              </w:rPr>
              <w:t>证明材料</w:t>
            </w:r>
            <w:r>
              <w:rPr>
                <w:rFonts w:ascii="仿宋_GB2312" w:hAnsi="仿宋_GB2312" w:cs="仿宋_GB2312" w:eastAsia="仿宋_GB2312"/>
                <w:sz w:val="20"/>
                <w:b/>
              </w:rPr>
              <w:t>,未满足按无效标处理。</w:t>
            </w:r>
          </w:p>
          <w:p>
            <w:pPr>
              <w:pStyle w:val="null3"/>
            </w:pP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安全服务内容</w:t>
            </w:r>
          </w:p>
          <w:p>
            <w:pPr>
              <w:pStyle w:val="null3"/>
              <w:jc w:val="both"/>
            </w:pPr>
            <w:r>
              <w:rPr>
                <w:rFonts w:ascii="仿宋_GB2312" w:hAnsi="仿宋_GB2312" w:cs="仿宋_GB2312" w:eastAsia="仿宋_GB2312"/>
                <w:sz w:val="20"/>
              </w:rPr>
              <w:t>供应商需配备</w:t>
            </w:r>
            <w:r>
              <w:rPr>
                <w:rFonts w:ascii="仿宋_GB2312" w:hAnsi="仿宋_GB2312" w:cs="仿宋_GB2312" w:eastAsia="仿宋_GB2312"/>
                <w:sz w:val="21"/>
              </w:rPr>
              <w:t>专职技术工程师</w:t>
            </w:r>
            <w:r>
              <w:rPr>
                <w:rFonts w:ascii="仿宋_GB2312" w:hAnsi="仿宋_GB2312" w:cs="仿宋_GB2312" w:eastAsia="仿宋_GB2312"/>
                <w:sz w:val="32"/>
              </w:rPr>
              <w:t>（</w:t>
            </w:r>
            <w:r>
              <w:rPr>
                <w:rFonts w:ascii="仿宋_GB2312" w:hAnsi="仿宋_GB2312" w:cs="仿宋_GB2312" w:eastAsia="仿宋_GB2312"/>
                <w:sz w:val="20"/>
              </w:rPr>
              <w:t>能胜任具有网络安全应急响应、故障处置、问题分析和报告撰写能力</w:t>
            </w:r>
            <w:r>
              <w:rPr>
                <w:rFonts w:ascii="仿宋_GB2312" w:hAnsi="仿宋_GB2312" w:cs="仿宋_GB2312" w:eastAsia="仿宋_GB2312"/>
                <w:sz w:val="32"/>
              </w:rPr>
              <w:t>）</w:t>
            </w:r>
            <w:r>
              <w:rPr>
                <w:rFonts w:ascii="仿宋_GB2312" w:hAnsi="仿宋_GB2312" w:cs="仿宋_GB2312" w:eastAsia="仿宋_GB2312"/>
                <w:sz w:val="20"/>
              </w:rPr>
              <w:t>现场驻场人员</w:t>
            </w:r>
            <w:r>
              <w:rPr>
                <w:rFonts w:ascii="仿宋_GB2312" w:hAnsi="仿宋_GB2312" w:cs="仿宋_GB2312" w:eastAsia="仿宋_GB2312"/>
                <w:sz w:val="20"/>
              </w:rPr>
              <w:t>1名。驻场人员需严格遵守采购人各项内部规章制度，如有违反制度规定的情况出现时，立即更换驻场人员并依规处罚。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技术要求</w:t>
            </w:r>
          </w:p>
          <w:p>
            <w:pPr>
              <w:pStyle w:val="null3"/>
            </w:pP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质保服务要求</w:t>
            </w:r>
          </w:p>
          <w:tbl>
            <w:tblPr>
              <w:tblInd w:type="dxa" w:w="120"/>
              <w:tblBorders>
                <w:top w:val="none" w:color="000000" w:sz="4"/>
                <w:left w:val="none" w:color="000000" w:sz="4"/>
                <w:bottom w:val="none" w:color="000000" w:sz="4"/>
                <w:right w:val="none" w:color="000000" w:sz="4"/>
                <w:insideH w:val="none"/>
                <w:insideV w:val="none"/>
              </w:tblBorders>
            </w:tblPr>
            <w:tblGrid>
              <w:gridCol w:w="540"/>
              <w:gridCol w:w="2013"/>
            </w:tblGrid>
            <w:tr>
              <w:tc>
                <w:tcPr>
                  <w:tcW w:type="dxa" w:w="540"/>
                  <w:tcBorders>
                    <w:top w:val="single" w:color="000000" w:sz="4"/>
                    <w:left w:val="single" w:color="000000" w:sz="4"/>
                    <w:bottom w:val="single" w:color="000000" w:sz="4"/>
                    <w:right w:val="single" w:color="000000" w:sz="4"/>
                  </w:tcBorders>
                  <w:shd w:fill="DDDDDD"/>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服务内容</w:t>
                  </w:r>
                </w:p>
              </w:tc>
              <w:tc>
                <w:tcPr>
                  <w:tcW w:type="dxa" w:w="2013"/>
                  <w:tcBorders>
                    <w:top w:val="single" w:color="000000" w:sz="4"/>
                    <w:left w:val="none" w:color="000000" w:sz="4"/>
                    <w:bottom w:val="single" w:color="000000" w:sz="4"/>
                    <w:right w:val="single" w:color="000000" w:sz="4"/>
                  </w:tcBorders>
                  <w:shd w:fill="DDDDDD"/>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服务要求</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质保服务</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提供一年产品质保及软件、特征库升级服务。</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备品备件服务</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针对本项目</w:t>
                  </w:r>
                  <w:r>
                    <w:rPr>
                      <w:rFonts w:ascii="仿宋_GB2312" w:hAnsi="仿宋_GB2312" w:cs="仿宋_GB2312" w:eastAsia="仿宋_GB2312"/>
                      <w:sz w:val="20"/>
                    </w:rPr>
                    <w:t>网络安全产品</w:t>
                  </w:r>
                  <w:r>
                    <w:rPr>
                      <w:rFonts w:ascii="仿宋_GB2312" w:hAnsi="仿宋_GB2312" w:cs="仿宋_GB2312" w:eastAsia="仿宋_GB2312"/>
                      <w:sz w:val="20"/>
                    </w:rPr>
                    <w:t>维保</w:t>
                  </w:r>
                  <w:r>
                    <w:rPr>
                      <w:rFonts w:ascii="仿宋_GB2312" w:hAnsi="仿宋_GB2312" w:cs="仿宋_GB2312" w:eastAsia="仿宋_GB2312"/>
                      <w:sz w:val="20"/>
                    </w:rPr>
                    <w:t>具有完善的备品备件库体系，</w:t>
                  </w:r>
                  <w:r>
                    <w:rPr>
                      <w:rFonts w:ascii="仿宋_GB2312" w:hAnsi="仿宋_GB2312" w:cs="仿宋_GB2312" w:eastAsia="仿宋_GB2312"/>
                      <w:sz w:val="21"/>
                    </w:rPr>
                    <w:t>能够向本次涉及的安全产品提供快捷的备品备件服务。</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电话响应</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在正常的办公时间内</w:t>
                  </w:r>
                  <w:r>
                    <w:rPr>
                      <w:rFonts w:ascii="仿宋_GB2312" w:hAnsi="仿宋_GB2312" w:cs="仿宋_GB2312" w:eastAsia="仿宋_GB2312"/>
                      <w:sz w:val="20"/>
                    </w:rPr>
                    <w:t>(每星期一至星期五的9:00-17:30)，</w:t>
                  </w:r>
                  <w:r>
                    <w:rPr>
                      <w:rFonts w:ascii="仿宋_GB2312" w:hAnsi="仿宋_GB2312" w:cs="仿宋_GB2312" w:eastAsia="仿宋_GB2312"/>
                      <w:sz w:val="20"/>
                    </w:rPr>
                    <w:t>客户可通过电话</w:t>
                  </w:r>
                  <w:r>
                    <w:rPr>
                      <w:rFonts w:ascii="仿宋_GB2312" w:hAnsi="仿宋_GB2312" w:cs="仿宋_GB2312" w:eastAsia="仿宋_GB2312"/>
                      <w:sz w:val="20"/>
                    </w:rPr>
                    <w:t>获得安全、专业的技术支持、访问问题处理、知识库、软件以及客户培训信息。</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远程支持服务</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对于通过电话指导不能解决的故障，在征得客户同意后，通过远程接入手段，登录到故障设备，进行故障诊断，查找故障出现的原因，指导现场维护人员处理故障。</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现场服务</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对于通过电话支持和远程支持都不能解决的故障，</w:t>
                  </w:r>
                  <w:r>
                    <w:rPr>
                      <w:rFonts w:ascii="仿宋_GB2312" w:hAnsi="仿宋_GB2312" w:cs="仿宋_GB2312" w:eastAsia="仿宋_GB2312"/>
                      <w:sz w:val="20"/>
                    </w:rPr>
                    <w:t>供应商</w:t>
                  </w:r>
                  <w:r>
                    <w:rPr>
                      <w:rFonts w:ascii="仿宋_GB2312" w:hAnsi="仿宋_GB2312" w:cs="仿宋_GB2312" w:eastAsia="仿宋_GB2312"/>
                      <w:sz w:val="20"/>
                    </w:rPr>
                    <w:t>安排经验丰富的技术服务工程师赴现场分析故障原因，制定故障解决方案，并最终排除故障</w:t>
                  </w:r>
                  <w:r>
                    <w:rPr>
                      <w:rFonts w:ascii="仿宋_GB2312" w:hAnsi="仿宋_GB2312" w:cs="仿宋_GB2312" w:eastAsia="仿宋_GB2312"/>
                      <w:sz w:val="20"/>
                    </w:rPr>
                    <w:t>。</w:t>
                  </w:r>
                </w:p>
              </w:tc>
            </w:tr>
          </w:tbl>
          <w:p>
            <w:pPr>
              <w:pStyle w:val="null3"/>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安全响应要求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1）提供7×24小时技术支持服务，在接到技术支持要求时，为系统使用人员提供如何使用系统的咨询。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2）在使用系统如遇到软件、硬件或是网络问题，需提供电话支持与帮助。一旦接到请求电话，需在</w:t>
            </w:r>
            <w:r>
              <w:rPr>
                <w:rFonts w:ascii="仿宋_GB2312" w:hAnsi="仿宋_GB2312" w:cs="仿宋_GB2312" w:eastAsia="仿宋_GB2312"/>
                <w:sz w:val="20"/>
              </w:rPr>
              <w:t>2小时内</w:t>
            </w:r>
            <w:r>
              <w:rPr>
                <w:rFonts w:ascii="仿宋_GB2312" w:hAnsi="仿宋_GB2312" w:cs="仿宋_GB2312" w:eastAsia="仿宋_GB2312"/>
                <w:sz w:val="20"/>
              </w:rPr>
              <w:t>通过电话解决或回答用户所出的问题。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3）在接到故障报修要求时，1小时内做出明确响应和安排，一般问题需在2小时内为采购人提供故障恢复服务，重大故障需在24小时内恢复并做出故障诊断报告。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4）供应商所提供驻场人员应按照采购人要求，定期对相关信息系统或设备进行巡检，监控、发现问题并及时处置，撰写工作报告。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验收和考核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需参加</w:t>
            </w:r>
            <w:r>
              <w:rPr>
                <w:rFonts w:ascii="仿宋_GB2312" w:hAnsi="仿宋_GB2312" w:cs="仿宋_GB2312" w:eastAsia="仿宋_GB2312"/>
                <w:sz w:val="20"/>
              </w:rPr>
              <w:t>采购人</w:t>
            </w:r>
            <w:r>
              <w:rPr>
                <w:rFonts w:ascii="仿宋_GB2312" w:hAnsi="仿宋_GB2312" w:cs="仿宋_GB2312" w:eastAsia="仿宋_GB2312"/>
                <w:sz w:val="20"/>
              </w:rPr>
              <w:t>组织的运维单位考核，按照《陕西省交通运行监测中心信息化系统运维服务考核办法》执行。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2）合同期满，运维项目必须通过</w:t>
            </w:r>
            <w:r>
              <w:rPr>
                <w:rFonts w:ascii="仿宋_GB2312" w:hAnsi="仿宋_GB2312" w:cs="仿宋_GB2312" w:eastAsia="仿宋_GB2312"/>
                <w:sz w:val="20"/>
              </w:rPr>
              <w:t>采购人</w:t>
            </w:r>
            <w:r>
              <w:rPr>
                <w:rFonts w:ascii="仿宋_GB2312" w:hAnsi="仿宋_GB2312" w:cs="仿宋_GB2312" w:eastAsia="仿宋_GB2312"/>
                <w:sz w:val="20"/>
              </w:rPr>
              <w:t>验收，验收工作费用由运维单位承担。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配备1名项目经理及至少1名专职技术工程师在工作日提供5天×8小时驻场服务，根据采购人要求提供重要时期现场值守服务，并为驻场技术维护岗设置双人A、B角色互为备份。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1.供应商需参加采购人组织的运维单位考核，按照《陕西省交通运行监测中心信息化系统运维服务考核办法》执行。 2.合同期满，运维项目必须通过采购人验收，验收工作费用由运维单位承担。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合同履行期限结束，供应商未能按期完成服务期限的内容，供应商应继续履行自身义务直至符合合同约定。同时从合同履行期限届满之日开始起算，每逾期一天按合同总金额的0.03%向采购人支付违约金。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甲乙双方任何一方违反保密义务的，违约方应向对方支付合同总金额10%的违约金，违约金不足以弥补对方损失的还应当承担补足责任。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1.安全保密： 签订《交通网络安全态势感知平台运维技术服务保密协议》，确保信息安全。 2.质量标准： 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注：中小企业应填写的《中小企业声明函》（见响应文件格式）可为判定标准，残疾人福利性单位填写的《残疾人福利性单位声明函》（见响应文件格式）可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磋商小组认为供应商响应报价明显低于市场价格，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符合磋商文件第三章“3.3商务要求”。</w:t>
            </w:r>
          </w:p>
        </w:tc>
        <w:tc>
          <w:tcPr>
            <w:tcW w:type="dxa" w:w="1661"/>
          </w:tcPr>
          <w:p>
            <w:pPr>
              <w:pStyle w:val="null3"/>
            </w:pPr>
            <w:r>
              <w:rPr>
                <w:rFonts w:ascii="仿宋_GB2312" w:hAnsi="仿宋_GB2312" w:cs="仿宋_GB2312" w:eastAsia="仿宋_GB2312"/>
              </w:rPr>
              <w:t>服务方案 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符合磋商文件第三章“3.2服务内容及服务要求响应”中★条款要求。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供应商应满足磋商文件的实质性要求，也不得存在磋商文件规定的无效情形。</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根据供应商提供的项目总体分析（分析内容包括但不限于项目背景、采购需求及意义、项目的重点难点及具体要求等）进行综合评审： 1.对本项目的背景、采购需求及意义理解非常透彻，对项目重点难点及具体要求有具体分析及具体应对措施，得10分； 2.对本项目的背景、采购需求及意义有较好的理解，对项目重点难点及具体要求有较好的分析及应对措施，得7分； 3.对本项目的背景、采购需求及意义理解不到位，对项目重点难点及具体要求的分析较差，应对措施较差，得4分；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根据供应商提供的服务方案（包括但不限于项目网络安全监测、安全态势感知及监测预警、趋势分析和展示等方面）进行评审： 1.服务方案内容全面完善、切实可行、有针对性，完全满足项目采购要求，得15分； 2.服务方案内容比较全面完善、切实可行，比较有针对性，基本满足项目采购要求，得10分； 3.服务方案内容不够全面完善、可行性差，针对性较差，部分满足项目采购要求，得5分； 4.未提供或其他情况不得分。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1.制定了十分详细、合理的项目进度计划及进度计划保证措施，得8分； 2.制定了较为详细、合理的项目进度计划及进度计划保证措施，得6分； 3.制定的项目进度计划及进度计划保证措施较差，得3分； 4.未提供或其他情况不得分。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1.配备1名项目经理及至少1名工作日5天×8小时驻场服务人员，根据采购人要求提供重要时期现场值守服务，并为驻场技术维护岗设置双人A、B角色互为备份，完全满足得2分。 2.项目经理具有信息化相关行业高级职称得2分，中级职称得1分；具有近三年（2022年01月01日至磋商响应文件提交截止时间）类似项目业绩一项得1分，满分2分。 3.负责驻场的运维人员具有相关行业的技能证书得1分，没有不得分。 注：类似项目业绩以提供的合同协议书复印件为准。时间以合同协议书签订时间为准。具体人员提供对应的证书复印件。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人员配备2（项目团队人员配备）</w:t>
            </w:r>
          </w:p>
        </w:tc>
        <w:tc>
          <w:tcPr>
            <w:tcW w:type="dxa" w:w="2492"/>
          </w:tcPr>
          <w:p>
            <w:pPr>
              <w:pStyle w:val="null3"/>
            </w:pPr>
            <w:r>
              <w:rPr>
                <w:rFonts w:ascii="仿宋_GB2312" w:hAnsi="仿宋_GB2312" w:cs="仿宋_GB2312" w:eastAsia="仿宋_GB2312"/>
              </w:rPr>
              <w:t>项目团队人员配备：拟投入项目团队人员分工明确、配置合理，经验丰富，专业性强，满足采购要求得8分；分工较明确、配置较合理、经验较丰富的，基本满足采购要求得5分；分工不够明确、配置一般、经验一般的得3分。 注：提供拟派团队人员明细表。</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员工管理</w:t>
            </w:r>
          </w:p>
        </w:tc>
        <w:tc>
          <w:tcPr>
            <w:tcW w:type="dxa" w:w="2492"/>
          </w:tcPr>
          <w:p>
            <w:pPr>
              <w:pStyle w:val="null3"/>
            </w:pPr>
            <w:r>
              <w:rPr>
                <w:rFonts w:ascii="仿宋_GB2312" w:hAnsi="仿宋_GB2312" w:cs="仿宋_GB2312" w:eastAsia="仿宋_GB2312"/>
              </w:rPr>
              <w:t>根据供应商针对本项目提供的符合实际情况的培训、行政管理制度及考核办法、风险管控、岗位考核细则、工作人员奖惩制度等进行评审： 1.各项制度方法完整明确、具有针对性得6分；2.各项制度方法较完整明确、针对性一般得3分； 3.未提供或其他情况不得。</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根据供应商提供针对本项目的项目质量保障措施进行评审： 1.项目质量保障措施内容详尽、完善、有针对性，完全满足随时汇报以及短期内提交成果等特殊要求的，得6分； 2.项目质量保障措施比较详尽、完善、比较有针对性，能够满足随时汇报以及短期内提交成果等特殊要求的，得4分； 3.项目质量保障措施较差，合理性、可行性较差，无法满足随时汇报以及短期内提交成果等特殊要求的，得3分； 4.未提供或其他情况不得分。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根据供应商提供的应急预案及突发事件应急保障措施进行评审： 1.应急预案内容分析全面、具体、合理，应对突发事件的保障措施详细、可行、有针对性，得8分； 2.应急预案内容分析较为全面、具体、合理，应对突发事件的保障措施较为详细、可行，比较有针对性，得6分； 3.应急预案内容分析不够全面、具体、合理，应对突发事件的保障措施不够详细，可行性、针对性较差，得3分； 4.未提供或其他情况不得分。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根据供应商提供针对本项目的售后服务方案进行评审： 1.售后服务方案详细，完全满足采购需求得5分； 2.售后服务方案基本完整，基本满足采购需求得3分；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根据供应商针对本项目提供的保密措施（包括但不限于技术资料、商业秘密和商业信息、电子数据及现场管理的保密及应对措施等方面）进行评审： 1.保密措施全面完善，应对措施切实可行、有针对性，完全满足项目采购要求，得5分； 2.保密措施比较全面完善，应对措施基本切实可行，比较有针对性，基本满足项目采购要求，得3分； 3.保密措施不够全面完善，应对措施不够切实可行，针对性较差，部分满足项目采购要求，得2分； 4.未提供或其他情况不得分。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近三年（2022年01月01日起至磋商响应文件递交截止时间）有类似项目业绩，每有1项得1分，最多得5分。 注：类似项目业绩以提供的合同协议书复印件为准。时间以合同协议书签订时间为准。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根据供应商针对本项目项目执行、技术支持、人员安排等方面提供的合理化建议进行评审： 1.建议内容明确、合理、具有较强的可行性得7分； 2.建议内容基本明确、合理、具有可行性，得4分； 3.建议内容较为含糊且缺乏可行性，得1分；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 各供应商的报价得分按下列公式计算： 报价得分=（基准价/磋商报价）×10 磋商报价不完整的，不计入磋商基准价的计算，本项得0分。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详见附件：商务要求应答表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