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版本号：GXCZ-C-2557025620250508001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厅应急指挥中心值守保障技术服务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GXCZ-C-25570256</w:t>
      </w:r>
      <w:r>
        <w:br/>
      </w:r>
      <w:r>
        <w:br/>
      </w:r>
      <w:r>
        <w:br/>
      </w:r>
    </w:p>
    <w:p>
      <w:pPr>
        <w:pStyle w:val="null3"/>
        <w:jc w:val="center"/>
        <w:outlineLvl w:val="2"/>
      </w:pPr>
      <w:r>
        <w:rPr>
          <w:rFonts w:ascii="仿宋_GB2312" w:hAnsi="仿宋_GB2312" w:cs="仿宋_GB2312" w:eastAsia="仿宋_GB2312"/>
          <w:sz w:val="28"/>
          <w:b/>
        </w:rPr>
        <w:t>陕西省交通运行监测中心</w:t>
      </w:r>
    </w:p>
    <w:p>
      <w:pPr>
        <w:pStyle w:val="null3"/>
        <w:jc w:val="center"/>
        <w:outlineLvl w:val="2"/>
      </w:pPr>
      <w:r>
        <w:rPr>
          <w:rFonts w:ascii="仿宋_GB2312" w:hAnsi="仿宋_GB2312" w:cs="仿宋_GB2312" w:eastAsia="仿宋_GB2312"/>
          <w:sz w:val="28"/>
          <w:b/>
        </w:rPr>
        <w:t>国信招标集团股份有限公司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国信招标集团股份有限公司</w:t>
      </w:r>
      <w:r>
        <w:rPr>
          <w:rFonts w:ascii="仿宋_GB2312" w:hAnsi="仿宋_GB2312" w:cs="仿宋_GB2312" w:eastAsia="仿宋_GB2312"/>
        </w:rPr>
        <w:t>（以下简称“代理机构”）受</w:t>
      </w:r>
      <w:r>
        <w:rPr>
          <w:rFonts w:ascii="仿宋_GB2312" w:hAnsi="仿宋_GB2312" w:cs="仿宋_GB2312" w:eastAsia="仿宋_GB2312"/>
        </w:rPr>
        <w:t>陕西省交通运行监测中心</w:t>
      </w:r>
      <w:r>
        <w:rPr>
          <w:rFonts w:ascii="仿宋_GB2312" w:hAnsi="仿宋_GB2312" w:cs="仿宋_GB2312" w:eastAsia="仿宋_GB2312"/>
        </w:rPr>
        <w:t>委托，拟对</w:t>
      </w:r>
      <w:r>
        <w:rPr>
          <w:rFonts w:ascii="仿宋_GB2312" w:hAnsi="仿宋_GB2312" w:cs="仿宋_GB2312" w:eastAsia="仿宋_GB2312"/>
        </w:rPr>
        <w:t>厅应急指挥中心值守保障技术服务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GXCZ-C-25570256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厅应急指挥中心值守保障技术服务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本项目供应商需承担陕西省交通运行监测与应急指挥中心的值班值守、交通信息采集、核实与发布、信息接收与报告、运行指挥调度、公众信息服务、信息共享与联动、应急演练等工作。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采购包1（厅应急指挥中心值守保障技术服务）：属于专门面向中小企业采购。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陕西省交通运行监测中心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西安市雁塔区唐延路6号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029-88869272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国信招标集团股份有限公司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陕西省西安市雁塔区南二环西段58号成长大厦20层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肖君玲、贾天佼、刘洋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15637780510、13299087301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规定标准的85%计算，向成交供应商收取代理服务费。按“服务类”收取。 户名：国信招标集团股份有限公司 开户银行：平安银行北京神华支行 虚拟账号：30206098008812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陕西省交通运行监测中心</w:t>
      </w:r>
      <w:r>
        <w:rPr>
          <w:rFonts w:ascii="仿宋_GB2312" w:hAnsi="仿宋_GB2312" w:cs="仿宋_GB2312" w:eastAsia="仿宋_GB2312"/>
        </w:rPr>
        <w:t>和</w:t>
      </w:r>
      <w:r>
        <w:rPr>
          <w:rFonts w:ascii="仿宋_GB2312" w:hAnsi="仿宋_GB2312" w:cs="仿宋_GB2312" w:eastAsia="仿宋_GB2312"/>
        </w:rPr>
        <w:t>国信招标集团股份有限公司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陕西省交通运行监测中心</w:t>
      </w:r>
      <w:r>
        <w:rPr>
          <w:rFonts w:ascii="仿宋_GB2312" w:hAnsi="仿宋_GB2312" w:cs="仿宋_GB2312" w:eastAsia="仿宋_GB2312"/>
        </w:rPr>
        <w:t>负责解释。除上述磋商文件内容，其他内容由</w:t>
      </w:r>
      <w:r>
        <w:rPr>
          <w:rFonts w:ascii="仿宋_GB2312" w:hAnsi="仿宋_GB2312" w:cs="仿宋_GB2312" w:eastAsia="仿宋_GB2312"/>
        </w:rPr>
        <w:t>国信招标集团股份有限公司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陕西省交通运行监测中心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国信招标集团股份有限公司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采购人按采购文件规定或采购合同的约定进行验收。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联系人：肖君玲、贾天佼、刘洋</w:t>
      </w:r>
    </w:p>
    <w:p>
      <w:pPr>
        <w:pStyle w:val="null3"/>
      </w:pPr>
      <w:r>
        <w:rPr>
          <w:rFonts w:ascii="仿宋_GB2312" w:hAnsi="仿宋_GB2312" w:cs="仿宋_GB2312" w:eastAsia="仿宋_GB2312"/>
        </w:rPr>
        <w:t>联系电话：15637780510、13299087301</w:t>
      </w:r>
    </w:p>
    <w:p>
      <w:pPr>
        <w:pStyle w:val="null3"/>
      </w:pPr>
      <w:r>
        <w:rPr>
          <w:rFonts w:ascii="仿宋_GB2312" w:hAnsi="仿宋_GB2312" w:cs="仿宋_GB2312" w:eastAsia="仿宋_GB2312"/>
        </w:rPr>
        <w:t>地址：陕西省西安市南二环成长大厦20楼</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本项目供应商需承担陕西省交通运行监测与应急指挥中心的值班值守、交通信息采集、核实与发布、信息接收与报告、运行指挥调度、公众信息服务、信息共享与联动、应急演练等工作。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1,180,000.00</w:t>
      </w:r>
    </w:p>
    <w:p>
      <w:pPr>
        <w:pStyle w:val="null3"/>
      </w:pPr>
      <w:r>
        <w:rPr>
          <w:rFonts w:ascii="仿宋_GB2312" w:hAnsi="仿宋_GB2312" w:cs="仿宋_GB2312" w:eastAsia="仿宋_GB2312"/>
        </w:rPr>
        <w:t>采购包最高限价（元）: 1,180,000.00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厅应急指挥中心值守保障技术服务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标的名称：厅应急指挥中心值守保障技术服务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rPr>
              <w:t>值班值守：</w:t>
            </w:r>
          </w:p>
          <w:p>
            <w:pPr>
              <w:pStyle w:val="null3"/>
              <w:jc w:val="both"/>
            </w:pPr>
            <w:r>
              <w:rPr>
                <w:rFonts w:ascii="仿宋_GB2312" w:hAnsi="仿宋_GB2312" w:cs="仿宋_GB2312" w:eastAsia="仿宋_GB2312"/>
                <w:sz w:val="18"/>
              </w:rPr>
              <w:t>承担陕西省交通运行监测与应急指挥中心全年7×24小时值班值守工作，对接联系交通运输部、省政府、省气象局等单位，联系地市交通运输局、厅直等行业单位，以及陕西交控集团等行业重点企业。</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rPr>
              <w:t>视频巡视：</w:t>
            </w:r>
          </w:p>
          <w:p>
            <w:pPr>
              <w:pStyle w:val="null3"/>
              <w:jc w:val="both"/>
            </w:pPr>
            <w:r>
              <w:rPr>
                <w:rFonts w:ascii="仿宋_GB2312" w:hAnsi="仿宋_GB2312" w:cs="仿宋_GB2312" w:eastAsia="仿宋_GB2312"/>
                <w:sz w:val="18"/>
              </w:rPr>
              <w:t>每日通过高速公路视频监控系统、陕西公路视频服务系统、省厅视频整合平台、铁航邮视频平台，对陕西省内各条高速公路、国省干线公路、重点客运场站、水路码头等进行视频巡视，并形成巡视日报，每周汇总为周报提交主管科室。厅机关相关处室、省政府职能部门等如需调阅相关视频时，按照要求配合提供视频画面。巡视过程中发现的突发事件及时上报并对接响应单位进行处置。</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18"/>
              </w:rPr>
              <w:t>交通状态发布：</w:t>
            </w:r>
          </w:p>
          <w:p>
            <w:pPr>
              <w:pStyle w:val="null3"/>
              <w:jc w:val="both"/>
            </w:pPr>
            <w:r>
              <w:rPr>
                <w:rFonts w:ascii="仿宋_GB2312" w:hAnsi="仿宋_GB2312" w:cs="仿宋_GB2312" w:eastAsia="仿宋_GB2312"/>
                <w:sz w:val="18"/>
              </w:rPr>
              <w:t>审核陕西省高速公路、国省干线公路路况信息报送系统路况信息，并及时对全省路网运行状态进行汇总、更新、发布并上报。</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18"/>
              </w:rPr>
              <w:t>事件处置：</w:t>
            </w:r>
          </w:p>
          <w:p>
            <w:pPr>
              <w:pStyle w:val="null3"/>
              <w:jc w:val="both"/>
            </w:pPr>
            <w:r>
              <w:rPr>
                <w:rFonts w:ascii="仿宋_GB2312" w:hAnsi="仿宋_GB2312" w:cs="仿宋_GB2312" w:eastAsia="仿宋_GB2312"/>
                <w:sz w:val="18"/>
              </w:rPr>
              <w:t>通过陕西省交通运行监测调度平台、陕西省路网路况报送系统实时掌握全省高速公路、国省干线公路运行动态，对突发事件、交通管制、道路养护施工、道路通行缓慢等情况及时审核统计，并根据相应操作流程进行事件的及时上报、发布及协调处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18"/>
              </w:rPr>
              <w:t>应急保障：</w:t>
            </w:r>
          </w:p>
          <w:p>
            <w:pPr>
              <w:pStyle w:val="null3"/>
              <w:jc w:val="both"/>
            </w:pPr>
            <w:r>
              <w:rPr>
                <w:rFonts w:ascii="仿宋_GB2312" w:hAnsi="仿宋_GB2312" w:cs="仿宋_GB2312" w:eastAsia="仿宋_GB2312"/>
                <w:sz w:val="18"/>
              </w:rPr>
              <w:t>在交通行业应急状态下，按照应急处置预案，配合开展预警接收、指令下达、信息上报、协调联络、过程跟踪，处置响应以及事后评估等。</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18"/>
              </w:rPr>
              <w:t>通信保障：</w:t>
            </w:r>
          </w:p>
          <w:p>
            <w:pPr>
              <w:pStyle w:val="null3"/>
              <w:jc w:val="both"/>
            </w:pPr>
            <w:r>
              <w:rPr>
                <w:rFonts w:ascii="仿宋_GB2312" w:hAnsi="仿宋_GB2312" w:cs="仿宋_GB2312" w:eastAsia="仿宋_GB2312"/>
                <w:sz w:val="18"/>
              </w:rPr>
              <w:t>配合组织实施路网、恶劣天气、重大节假日和重要活动等相关的通信保障和演练等工作。</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rPr>
              <w:t>系统巡检：</w:t>
            </w:r>
          </w:p>
          <w:p>
            <w:pPr>
              <w:pStyle w:val="null3"/>
              <w:jc w:val="both"/>
            </w:pPr>
            <w:r>
              <w:rPr>
                <w:rFonts w:ascii="仿宋_GB2312" w:hAnsi="仿宋_GB2312" w:cs="仿宋_GB2312" w:eastAsia="仿宋_GB2312"/>
                <w:sz w:val="18"/>
              </w:rPr>
              <w:t>每日巡检指挥大厅部署的相关系统和平台，查看各系统的运行情况并做好记录，对巡检过程中发现的问题，及时通知相关运维责任人进行处置。</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18"/>
              </w:rPr>
              <w:t>视频点名：</w:t>
            </w:r>
          </w:p>
          <w:p>
            <w:pPr>
              <w:pStyle w:val="null3"/>
              <w:jc w:val="both"/>
            </w:pPr>
            <w:r>
              <w:rPr>
                <w:rFonts w:ascii="仿宋_GB2312" w:hAnsi="仿宋_GB2312" w:cs="仿宋_GB2312" w:eastAsia="仿宋_GB2312"/>
                <w:sz w:val="18"/>
              </w:rPr>
              <w:t>按照要求，做好周一交通运输部视频点名，周二省政府视频点名和周四省政府视频技术联调（省政府节假日每日视频点名），周四省厅与厅直单位及各地市交通运输局应急视频调度暨定期视频点名（节假日及特殊极端天气不定期视频点名）等技术保障。</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18"/>
              </w:rPr>
              <w:t>信息发布：</w:t>
            </w:r>
          </w:p>
          <w:p>
            <w:pPr>
              <w:pStyle w:val="null3"/>
              <w:jc w:val="both"/>
            </w:pPr>
            <w:r>
              <w:rPr>
                <w:rFonts w:ascii="仿宋_GB2312" w:hAnsi="仿宋_GB2312" w:cs="仿宋_GB2312" w:eastAsia="仿宋_GB2312"/>
                <w:sz w:val="18"/>
              </w:rPr>
              <w:t>接收省气象局、省气象台的重大气象信息专报、重要天气报告，及时向各地市交通运输局、厅直等行业单位，以及陕西交控集团等重点企业发布预警信息。按照厅安监处的要求，在极端天气来临时，发布安全提示函。</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18"/>
              </w:rPr>
              <w:t>调研检查：</w:t>
            </w:r>
          </w:p>
          <w:p>
            <w:pPr>
              <w:pStyle w:val="null3"/>
              <w:jc w:val="both"/>
            </w:pPr>
            <w:r>
              <w:rPr>
                <w:rFonts w:ascii="仿宋_GB2312" w:hAnsi="仿宋_GB2312" w:cs="仿宋_GB2312" w:eastAsia="仿宋_GB2312"/>
                <w:sz w:val="18"/>
              </w:rPr>
              <w:t>承担省委省政府、交通运输部、行业相关单位等领导到厅应急指挥中心调研、检查时的准备、讲解以及系统演示工作。</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18"/>
              </w:rPr>
              <w:t>外场技术保障：</w:t>
            </w:r>
          </w:p>
          <w:p>
            <w:pPr>
              <w:pStyle w:val="null3"/>
              <w:jc w:val="both"/>
            </w:pPr>
            <w:r>
              <w:rPr>
                <w:rFonts w:ascii="仿宋_GB2312" w:hAnsi="仿宋_GB2312" w:cs="仿宋_GB2312" w:eastAsia="仿宋_GB2312"/>
                <w:sz w:val="18"/>
              </w:rPr>
              <w:t>遇紧急突发事件需要外场技术支持时，配合前往事发现场提供技术保障，将现场的音视频传回指挥中心。</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18"/>
              </w:rPr>
              <w:t>应急演练支撑保障：</w:t>
            </w:r>
          </w:p>
          <w:p>
            <w:pPr>
              <w:pStyle w:val="null3"/>
              <w:jc w:val="both"/>
            </w:pPr>
            <w:r>
              <w:rPr>
                <w:rFonts w:ascii="仿宋_GB2312" w:hAnsi="仿宋_GB2312" w:cs="仿宋_GB2312" w:eastAsia="仿宋_GB2312"/>
                <w:sz w:val="18"/>
              </w:rPr>
              <w:t>在年度服务期内按采购人需求开展陕西交通综合通信与应急会商专项演练组织与技术支持等服务。</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rPr>
              <w:t>其他：</w:t>
            </w:r>
          </w:p>
          <w:p>
            <w:pPr>
              <w:pStyle w:val="null3"/>
              <w:jc w:val="both"/>
            </w:pPr>
            <w:r>
              <w:rPr>
                <w:rFonts w:ascii="仿宋_GB2312" w:hAnsi="仿宋_GB2312" w:cs="仿宋_GB2312" w:eastAsia="仿宋_GB2312"/>
                <w:sz w:val="18"/>
              </w:rPr>
              <w:t>除上述业务外，供应商应建立健全完备的值守、培训、考核、监督等管理制度。操作人员应服从业主单位的统一指挥和工作安排，完成相关调查、统计、上报等工作。根据工作需要对业务人员开展培训工作。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主要内容包括为陕西省交通运行监测与应急指挥中心的值班值守、路网监测、信息发布、信息接收与报告、运行应急、交通保障等业务提供不少于9名操作人员（8名监控员和1名解说员），以及与此相关的人员管理、人员培训、人员考核、后勤保障等相关事务。 一、岗位设置： 设置监控员（8人，其中班长1人）和解说员（1人），人员均由本服务项目提供。主要岗位的职责包含但不限于以下内容： （一）监控班长岗 1.负责值守人员的日常管理及各项规章制度的监督与落实；协助上级做好监控大厅现场及日常运行管理工作。 2.负责各类交通突发事件信息的审核、报送，定期对班组业务进行统计、分析、汇总，编制周报及月度工作简报。 3.负责员工培训、日常考勤、班会召开及月度工作总结；负责定期对各类上报信息进行统计、分析、汇总，编制重大节假日路网监测专报。 4.认真做好交接班工作，做好值班日志审核工作，做好信息的上传下达工作。 5.参与监控岗值守工作。 6.完成上级交办的其他工作。 （二）监控员岗 1.负责做好各类交通与气象信息的采集、归总、审核、报送、发布等工作，对已上传到指挥中心的高速公路、国省干线重要路段通行状况、重要基础设施等视频图像进行轮巡。 2.熟悉掌握全省路网知识及路警各类系统的操作规程，规范使用监控大厅各类设备设施。 3.每日受理各种交通事件并核查，并根据事件情况编制相关报告或通知。 4.配合完成各级调研检查的演示及例行应急演练。 5.检查指挥大厅各种设备及部署的系统状态，并熟练掌握操作规程。 6.每周例行视频点名技术保障。 7.应急突发事件时，提供相关技术保障，实现相关事件相关音视频接入。 8.紧急突发事件需要外场支持时，前往事发现场提供技术保障，将现场的音视频传回指挥中心。 9.完成上级交办的其他工作。 （三）解说员岗 1.负责各级领导来厅应急指挥中心考察、调研的解说宣传工作。 2.负责省、市广播电台连线直播工作，做好来访人员登记，定期总结新闻采访工作开展情况。 3.做好重大节假日及恶劣天气期间电视台等新闻媒体受访工作。 4.微笑服务，文明用语，注重仪容仪表，着装整齐，淡妆上岗，保持正确的行姿、站姿和手势。 5.做好咨询解答工作，能积极反映讲解接待工作中出现的新情况、新问题，并提出合理建议。 6.及时完善解说工作涉及的各项数据及演示系统。 7.完成上级交办的其他工作。 二、人员要求 1.思维敏捷，有较强的事业心，具备良好的沟通能力和服务意识，具有良好的组织协调能力，工作责任心强，能承受较大的工作压力。 2.熟悉陕西省行政区划、高速公路、国省干线、水路走向和分布。 3.掌握政府公文格式，熟练使用Office、Project、Visio等工具软件。 4.大专以上学历，通信、计算机软硬件、网络技术、交通运输等相关专业，有一定交通行业工作经验。 5.具有较强动手能力，能熟练操作计算机、视频会议终端、摄像头、显示器、音响调音台等常见设备。 6.掌握计算机网络基本知识，熟悉场所部署的应用软件系统。 7.能适应夜班值班和出差安排。</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值守保障技术服务期为1年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（1）供应商需参加采购人组织的运维单位考核，按照《陕西省交通运行监测中心信息化系统运维服务考核办法》执行。 （2）合同期满，运维项目必须通过采购人验收，验收工作费用由运维单位承担。</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合同签订后供应商必须提供相应发票给采购人</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1.按《中华人民共和国民法典》中的相关条款和本合同的约定执行。 2.未按合同或政府采购招投标文件要求提供产品、服务，或供应的产品、服务质量不能满足采购人技术要求，经书面告知在合理期限内整改但仍不予调整的，采购人有权终止合同，并有权对违约行为进行追究。 3.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 4.采购人的违约责任 采购人因自身原因不按合同约定向供应商付款，每逾期一天，须按迟延付款额的_0.01%_向供应商支付延期付款的违约金。 采购人不按照合同约定提供相关资料及其它协作事项的，应提前7个日历天书面通知供应商，项目完成时间予以顺延。 5.供应商的违约责任 供应商未按照本合同约定保质保量提供产品或服务，经采购人催告后履行仍不符合合同约定的，采购人有权解除本合同，同时有权要求供应商按照合同价款的10%承担违约金。采购人维权支付的诉讼费、保全费、律师费等费用由供应商承担。 合同履行期限结束，供应商未能按期完成服务期限的内容，供应商应继续履行自身义务直至符合合同约定。同时从合同履行期限届满之日开始起算，每逾期一天按合同总金额的0.03%向采购人支付违约金。 若本项目经采购人验收不合格，采购人有权要求供应商在10日历天内整改完善，供应商必须予以整改完善。因此导致成果逾期提交的，履行期限不予顺延，每逾期一天，应按合同总金额的0.03%向采购人支付违约金；限期补充完善仍未达到采购人要求的，采购人有权单方解除合同，供应商除应承担上述逾期违约金外，还应赔偿因此给采购人造成的实际损失（例如：鉴定费、委托第三方为采购人提供完善项目所产生的费用、项目建设进度顺延给采购人造成的损失、诉讼费、律师费等），赔偿金额原则上不超过本合同总金额的30%，但采购人的实际损失超过合同总金额30%的，供应商应当承担补足责任。 甲乙双方任何一方违反保密义务的，违约方应向对方支付合同总金额10%的违约金，违约金不足以弥补对方损失的还应当承担补足责任。 供应商没有采购人的书面同意转让合同或将项目的全部或部分分包或转包出去，采购人可向供应商发出书面违约通知书，提出终止部分或全部合同。若采购人部分终止合同的，供应商应继续履行合同其他义务，并按照合同金额的10%支付违约金。若采购人全部终止合同的，供应商应按合同总金额30%的支付违约金。同时采购人的实际损失超过合同总金额30%的，供应商应当承担补足责任。 供应商违反合同约定的其它责任、义务视为违约，需向采购人支付合同总价款的30%违约金。同时采购人的实际损失超过合同总金额30%的，供应商应当承担补足责任。 合同争议的解决：合同执行中发生争议的，当事人双方应协商解决，协商达不成一致时，可向采购人所在地人民法院提请诉讼。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自服务起始日，响应文件内所提供的相关人员须全部到岗，禁止所投相关人员与实际到岗人员信息不符，否则采购人有权解除合同。上岗前完成人员岗前培训，包括专业培训、操作培训、岗位技能培训等。各岗位的工作人员应具备胜任岗位要求。如上岗后不能胜任岗位要求，采购人有权要求更换不合格人员。 2.成交供应商定期组织人员参加厅应急指挥中心相关系统厂家培训，由此产生的相关费用含在本次响应报价内，采购人将不再另行支付相关费用。 3.紧急突发事件，前往事发现场提供技术保障，由此产生的相关费用含在本次响应报价内，采购人将不再另行支付相关费用。 4.成交供应商应按需进行人力资源储备。对于采购人提出的人员更换以及人员自行离岗等情况，能够进行快速响应，完成人员录用、培训、上岗等工作，以保证采购人用人的延续性。 5.成交供应商应加强人员管理，建立完善的人员考核管理制度，定时更新相关条款，以保证采购人安排的工作得以落实，否则采购人有权解除合同。按月对工作人员进行严格管理考核，并将考核结果及时提供给采购人，考核标准须满足采购人相关要求；采购人根据工作人员的日常表现向成交供应商提供的用人反馈意见，应作为成交供应商人员考核的主要依据。 6.成交供应商提供的工作人员应遵守采购人的各项管理制度，并服从采购人管理。采购人根据中心实际运行情况进行服务质量考核。 7.成交供应商必须满足采购人提出的各项管理要求和指标，并将其写入相关制度，同时对于业务调整或行业要求引起的岗位设置、岗位职责、操作要求等变化按采购人要求及时调整，其费用包含在总费用之中，并且在规定时限内完成人员调整、培训等相关工作，以确保日常工作的正常有序进行。 8.成交供应商应接受采购人的考核和监督，并建立完整的管理制度和工作流程来保证采购人的工作指导和监督得以实现。发生工作失误，采购人可视情对供应商进行约谈。 9.成交供应商每月对服务提供情况进行总结、分析和自查，并书面向采购人提交工作总结报告。月度工作总结包含以下内容：在册人员考勤情况、履职情况、存在问题、考核情况及下月工作计划。 10.成交供应商在合同金额内应落实专项培训经费，有计划地组织定期安全培训、不定期业务培训及公文写作培训，提高聘用人员业务水平；在业务需求变化的情况下，应根据采购人要求及时开展相应的业务培训。 11.合同服务期结束前20天，采购人组织供应商结合相关合同条款对本次服务质量进行全面验收，供应商应以合同中所涉及的内容配合开展服务验收工作。 12.增强人员安全意识，严格按照相关规定操作。 13.安全保密：签订《厅应急指挥中心值守保障技术服务保密协议》，确保信息安全。 14.质量标准：符合国家及行业质量验收合格标准。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其他资格证明文件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整体专门面向中小企业采购。承接服务供应商应为中小企业，即提供服务的人员为中小企业依照《中华人民共和国劳动合同法》订立劳动合同的从业人员。中小企业须符合本项目采购标的对应行业（软件和信息技术服务业）的政策划分标准。监狱企业、残疾人福利单位视同小型、微型企业。 注：中小企业应填写的《中小企业声明函》（见响应文件格式）可为判定标准；残疾人福利性单位填写的《残疾人福利性单位声明函》（见响应文件格式）可为判定标准；监狱企业须供应商提供由省级以上监狱管理局、戒毒管理局（含新疆生产建设兵团）出具的属于监狱企业的证明文件，否则不予认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磋商小组认为供应商响应报价明显低于市场价格，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首轮报价表 分项报价表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其他资格证明文件 政府采购供应商拒绝政府采购领域商业贿赂承诺书 首轮报价表 分项报价表 响应承诺书 中小企业声明函 残疾人福利性单位声明函 服务方案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（2）响应报价表填写符合要求；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首轮报价表 分项报价表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符合磋商文件第三章“3.3商务要求”。</w:t>
            </w:r>
          </w:p>
        </w:tc>
        <w:tc>
          <w:tcPr>
            <w:tcW w:type="dxa" w:w="1661"/>
          </w:tcPr>
          <w:p>
            <w:pPr>
              <w:pStyle w:val="null3"/>
            </w:pPr>
            <w:r>
              <w:rPr>
                <w:rFonts w:ascii="仿宋_GB2312" w:hAnsi="仿宋_GB2312" w:cs="仿宋_GB2312" w:eastAsia="仿宋_GB2312"/>
              </w:rPr>
              <w:t>服务方案 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服务内容及服务要求响应</w:t>
            </w:r>
          </w:p>
        </w:tc>
        <w:tc>
          <w:tcPr>
            <w:tcW w:type="dxa" w:w="3322"/>
          </w:tcPr>
          <w:p>
            <w:pPr>
              <w:pStyle w:val="null3"/>
            </w:pPr>
            <w:r>
              <w:rPr>
                <w:rFonts w:ascii="仿宋_GB2312" w:hAnsi="仿宋_GB2312" w:cs="仿宋_GB2312" w:eastAsia="仿宋_GB2312"/>
              </w:rPr>
              <w:t>符合磋商文件第三章“3.2服务内容及服务要求响应”中★条款要求。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供应商应满足磋商文件的实质性要求，也不得存在磋商文件规定的无效情形。</w:t>
            </w:r>
          </w:p>
        </w:tc>
        <w:tc>
          <w:tcPr>
            <w:tcW w:type="dxa" w:w="1661"/>
          </w:tcPr>
          <w:p>
            <w:pPr>
              <w:pStyle w:val="null3"/>
            </w:pPr>
            <w:r>
              <w:rPr>
                <w:rFonts w:ascii="仿宋_GB2312" w:hAnsi="仿宋_GB2312" w:cs="仿宋_GB2312" w:eastAsia="仿宋_GB2312"/>
              </w:rPr>
              <w:t>政府采购供应商拒绝政府采购领域商业贿赂承诺书 响应承诺书</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针对本项目对工作过程中存在的重点、难点进行分析，重点、难点分析到位，并提出切实可行的解决办法，得10分，重点、难点分析及解决办法一般，得5分。重点、难点分析及解决办法较差的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针对本项目提供的服务方案合理、严谨、有针对性的，满足磋商文件要求，完善得15分；服务方案较合理、完善、可行得10分；服务方案有欠缺得5分。未提供不得分。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管理制度及培训</w:t>
            </w:r>
          </w:p>
        </w:tc>
        <w:tc>
          <w:tcPr>
            <w:tcW w:type="dxa" w:w="2492"/>
          </w:tcPr>
          <w:p>
            <w:pPr>
              <w:pStyle w:val="null3"/>
            </w:pPr>
            <w:r>
              <w:rPr>
                <w:rFonts w:ascii="仿宋_GB2312" w:hAnsi="仿宋_GB2312" w:cs="仿宋_GB2312" w:eastAsia="仿宋_GB2312"/>
              </w:rPr>
              <w:t>针对本项目提供的管理制度、培训体系，全面、有效、规范、可行，得13分；管理制度有效、可行得9分；管理制度不健全得5分。未提供不得分。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供应商根据采购需求，编制完整、可行、全面的质量保证措施。 质量保证措施详尽合理、切实可行得8分； 质量保证措施基本满足、可行性一般得4分。质量保证措施较差得1分，未提供不得分。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1.供应商为本项目配备的人员数量应不少于9人，每提供一名人员具有大专及以上学历，得1分，满分9分。 注：提供人员身份证及学历（或学位）证明材料复印件加盖公章。 2.本项目配备的人员中，提供应急通信调度系统、视频监控整合平台系统厂家培训证明材料的，每提供1名人员计1分，满分8分。 注：提供培训证明材料复印件加盖公章。</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现场解说</w:t>
            </w:r>
          </w:p>
        </w:tc>
        <w:tc>
          <w:tcPr>
            <w:tcW w:type="dxa" w:w="2492"/>
          </w:tcPr>
          <w:p>
            <w:pPr>
              <w:pStyle w:val="null3"/>
            </w:pPr>
            <w:r>
              <w:rPr>
                <w:rFonts w:ascii="仿宋_GB2312" w:hAnsi="仿宋_GB2312" w:cs="仿宋_GB2312" w:eastAsia="仿宋_GB2312"/>
              </w:rPr>
              <w:t>由供应商现场介绍解说省交通运行监测与应急指挥中心情况，解说语言流畅、表述内容清晰的的得7分，语言基本流畅、表述内容基本清晰的得3分，语言不流畅、表述内容不清晰的得1分，不解说得0分。 注：省交通运行监测与应急指挥中心情况介绍解说词，评审现场由采购人提供。现场演示解说人员，须为成交后实际解说人员，否则采购人有权解除合同。</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项目业务能力</w:t>
            </w:r>
          </w:p>
        </w:tc>
        <w:tc>
          <w:tcPr>
            <w:tcW w:type="dxa" w:w="2492"/>
          </w:tcPr>
          <w:p>
            <w:pPr>
              <w:pStyle w:val="null3"/>
            </w:pPr>
            <w:r>
              <w:rPr>
                <w:rFonts w:ascii="仿宋_GB2312" w:hAnsi="仿宋_GB2312" w:cs="仿宋_GB2312" w:eastAsia="仿宋_GB2312"/>
              </w:rPr>
              <w:t>1.近五年向部级或省级或市级领导进行系统功能演示，辅助资料（文字、照片等资料）一次2分。最高6分。 2.近五年参与省级组织的应急演练并提供技术保障，辅助资料（文字、照片等），一次2分，最高4分。 注：1和2相关辅助证明资料须由业主盖章证明，否则不得分。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供应商提供2021年4月至磋商响应文件递交截止日类似项目业绩，业绩证明材料以竞争性磋商响应文件中提供的合同复印件为准。每提供1份得2分，满分10分。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满足竞争性磋商文件要求且最低的磋商报价为评审基准价，其价格分为满分。 各供应商的报价得分按下列公式计算： 报价得分=（基准价/磋商报价）×10 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首轮报价表</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详见附件：首轮报价表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详见附件：供应商业绩一览表</w:t>
      </w:r>
    </w:p>
    <w:p>
      <w:pPr>
        <w:pStyle w:val="null3"/>
        <w:ind w:firstLine="960"/>
      </w:pPr>
      <w:r>
        <w:rPr>
          <w:rFonts w:ascii="仿宋_GB2312" w:hAnsi="仿宋_GB2312" w:cs="仿宋_GB2312" w:eastAsia="仿宋_GB2312"/>
        </w:rPr>
        <w:t>详见附件：其他资格证明文件</w:t>
      </w:r>
    </w:p>
    <w:p>
      <w:pPr>
        <w:pStyle w:val="null3"/>
        <w:ind w:firstLine="960"/>
      </w:pPr>
      <w:r>
        <w:rPr>
          <w:rFonts w:ascii="仿宋_GB2312" w:hAnsi="仿宋_GB2312" w:cs="仿宋_GB2312" w:eastAsia="仿宋_GB2312"/>
        </w:rPr>
        <w:t>详见附件：商务要求应答表</w:t>
      </w:r>
    </w:p>
    <w:p>
      <w:pPr>
        <w:pStyle w:val="null3"/>
        <w:ind w:firstLine="960"/>
      </w:pPr>
      <w:r>
        <w:rPr>
          <w:rFonts w:ascii="仿宋_GB2312" w:hAnsi="仿宋_GB2312" w:cs="仿宋_GB2312" w:eastAsia="仿宋_GB2312"/>
        </w:rPr>
        <w:t>详见附件：响应承诺书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