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版本号：GXCZ-C-2557025520250508001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省交通监测调度平台维护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GXCZ-C-25570255</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省交通监测调度平台维护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省交通监测调度平台维护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担陕西省交通运行监测调度平台运维服务。确保平台中电子地图、应急指挥系统、交通安全生产综合监管系统、道路运输运行管理系统、公路运行管理系统、水路运行管理系统、统计分析系统、数据展示系统等子系统稳定、可靠、持续运行，支撑全省交通运行监测与应急调度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采购包1（省交通监测调度平台维护）：属于专门面向中小企业采购。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户名：国信招标集团股份有限公司 开户银行：平安银行北京神华支行 虚拟账号：30206098008814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陕西省交通运行监测调度平台运维服务。确保平台中电子地图、应急指挥系统、交通安全生产综合监管系统、道路运输运行管理系统、公路运行管理系统、水路运行管理系统、统计分析系统、数据展示系统等子系统稳定、可靠、持续运行，支撑全省交通运行监测与应急调度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662,200.00</w:t>
      </w:r>
    </w:p>
    <w:p>
      <w:pPr>
        <w:pStyle w:val="null3"/>
      </w:pPr>
      <w:r>
        <w:rPr>
          <w:rFonts w:ascii="仿宋_GB2312" w:hAnsi="仿宋_GB2312" w:cs="仿宋_GB2312" w:eastAsia="仿宋_GB2312"/>
        </w:rPr>
        <w:t>采购包最高限价（元）: 662,200.00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省交通监测调度平台维护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标的名称：省交通监测调度平台维护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维护清单：</w:t>
            </w:r>
          </w:p>
          <w:tbl>
            <w:tblPr>
              <w:tblInd w:type="dxa" w:w="120"/>
              <w:tblBorders>
                <w:top w:val="none" w:color="000000" w:sz="4"/>
                <w:left w:val="none" w:color="000000" w:sz="4"/>
                <w:bottom w:val="none" w:color="000000" w:sz="4"/>
                <w:right w:val="none" w:color="000000" w:sz="4"/>
                <w:insideH w:val="none"/>
                <w:insideV w:val="none"/>
              </w:tblBorders>
            </w:tblPr>
            <w:tblGrid>
              <w:gridCol w:w="255"/>
              <w:gridCol w:w="736"/>
              <w:gridCol w:w="1775"/>
              <w:gridCol w:w="414"/>
            </w:tblGrid>
            <w:tr>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b/>
                      <w:color w:val="000000"/>
                    </w:rPr>
                    <w:t>序号</w:t>
                  </w:r>
                </w:p>
              </w:tc>
              <w:tc>
                <w:tcPr>
                  <w:tcW w:type="dxa" w:w="7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b/>
                      <w:color w:val="000000"/>
                    </w:rPr>
                    <w:t>子系统</w:t>
                  </w:r>
                </w:p>
              </w:tc>
              <w:tc>
                <w:tcPr>
                  <w:tcW w:type="dxa" w:w="17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b/>
                      <w:color w:val="000000"/>
                    </w:rPr>
                    <w:t>功能模块</w:t>
                  </w:r>
                </w:p>
              </w:tc>
              <w:tc>
                <w:tcPr>
                  <w:tcW w:type="dxa" w:w="4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b/>
                      <w:color w:val="000000"/>
                    </w:rPr>
                    <w:t>数量（套）</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1</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应急指挥系统</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应急值守、指挥调度、资源管理、信息发布、应急评估、培训演练。</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2</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交通安全生产综合监管系统</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人员机构、基础信息、平安工地、评分列表、风险关注点、事故推送。</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3</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道路运输运行管理系统</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首页数据展示、客运站、重点车辆、运政执法、城市客运、基础信息。</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4</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公路运行管理系统</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路网监测、基础设施监测、车辆监管、视频监控、统计分析。</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5</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水路运行管理系统</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前端视频信息采集，对汉江流域重点水域、码头视频监控的全覆盖，提升水路交通安全动态监管、处置能力。</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6</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系统外部接口</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系统外部接口维护。</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7</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支撑系统维护</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left"/>
                  </w:pPr>
                  <w:r>
                    <w:rPr>
                      <w:rFonts w:ascii="仿宋_GB2312" w:hAnsi="仿宋_GB2312" w:cs="仿宋_GB2312" w:eastAsia="仿宋_GB2312"/>
                      <w:sz w:val="20"/>
                      <w:color w:val="000000"/>
                    </w:rPr>
                    <w:t>工作流、中间件等原有应用支撑系统维护。</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8</w:t>
                  </w:r>
                </w:p>
              </w:tc>
              <w:tc>
                <w:tcPr>
                  <w:tcW w:type="dxa" w:w="7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历年运维中新增功能维护</w:t>
                  </w:r>
                </w:p>
              </w:tc>
              <w:tc>
                <w:tcPr>
                  <w:tcW w:type="dxa" w:w="17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20"/>
                      <w:color w:val="000000"/>
                    </w:rPr>
                    <w:t>系统历年维护中增加的数据可视化、统计分析系统等功能维护。</w:t>
                  </w:r>
                </w:p>
              </w:tc>
              <w:tc>
                <w:tcPr>
                  <w:tcW w:type="dxa" w:w="4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60"/>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日常运行维护任务：</w:t>
            </w:r>
          </w:p>
          <w:p>
            <w:pPr>
              <w:pStyle w:val="null3"/>
              <w:jc w:val="both"/>
            </w:pPr>
            <w:r>
              <w:rPr>
                <w:rFonts w:ascii="仿宋_GB2312" w:hAnsi="仿宋_GB2312" w:cs="仿宋_GB2312" w:eastAsia="仿宋_GB2312"/>
              </w:rPr>
              <w:t>1.</w:t>
            </w:r>
            <w:r>
              <w:rPr>
                <w:rFonts w:ascii="仿宋_GB2312" w:hAnsi="仿宋_GB2312" w:cs="仿宋_GB2312" w:eastAsia="仿宋_GB2312"/>
              </w:rPr>
              <w:t>派驻具有一年以上软件运维工作经验的技术人员在工作日、重大节日和重大事件期间驻场保障，协助开展应急突发事项处置工作</w:t>
            </w:r>
            <w:r>
              <w:rPr>
                <w:rFonts w:ascii="仿宋_GB2312" w:hAnsi="仿宋_GB2312" w:cs="仿宋_GB2312" w:eastAsia="仿宋_GB2312"/>
              </w:rPr>
              <w:t>，</w:t>
            </w:r>
            <w:r>
              <w:rPr>
                <w:rFonts w:ascii="仿宋_GB2312" w:hAnsi="仿宋_GB2312" w:cs="仿宋_GB2312" w:eastAsia="仿宋_GB2312"/>
                <w:sz w:val="20"/>
              </w:rPr>
              <w:t>为驻场技术维护岗设置双人</w:t>
            </w:r>
            <w:r>
              <w:rPr>
                <w:rFonts w:ascii="仿宋_GB2312" w:hAnsi="仿宋_GB2312" w:cs="仿宋_GB2312" w:eastAsia="仿宋_GB2312"/>
                <w:sz w:val="20"/>
              </w:rPr>
              <w:t>A、B角色互为备份</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对数据库进行定期监控，发现问题及时报告，并协商解决，服务项目的运行性能监测。</w:t>
            </w:r>
          </w:p>
          <w:p>
            <w:pPr>
              <w:pStyle w:val="null3"/>
              <w:jc w:val="both"/>
            </w:pPr>
            <w:r>
              <w:rPr>
                <w:rFonts w:ascii="仿宋_GB2312" w:hAnsi="仿宋_GB2312" w:cs="仿宋_GB2312" w:eastAsia="仿宋_GB2312"/>
              </w:rPr>
              <w:t>3.</w:t>
            </w:r>
            <w:r>
              <w:rPr>
                <w:rFonts w:ascii="仿宋_GB2312" w:hAnsi="仿宋_GB2312" w:cs="仿宋_GB2312" w:eastAsia="仿宋_GB2312"/>
              </w:rPr>
              <w:t>所约定服务对象软件故障的诊断、分析和排除，对已知的性能问题及时优化。</w:t>
            </w:r>
          </w:p>
          <w:p>
            <w:pPr>
              <w:pStyle w:val="null3"/>
              <w:jc w:val="both"/>
            </w:pPr>
            <w:r>
              <w:rPr>
                <w:rFonts w:ascii="仿宋_GB2312" w:hAnsi="仿宋_GB2312" w:cs="仿宋_GB2312" w:eastAsia="仿宋_GB2312"/>
              </w:rPr>
              <w:t>4.</w:t>
            </w:r>
            <w:r>
              <w:rPr>
                <w:rFonts w:ascii="仿宋_GB2312" w:hAnsi="仿宋_GB2312" w:cs="仿宋_GB2312" w:eastAsia="仿宋_GB2312"/>
              </w:rPr>
              <w:t>系统的安全防护工作，防病毒软件及时更新的病毒库增量。及时应对攻击和病毒入侵、系统文件遭到破坏删除或数据库崩溃等情况。</w:t>
            </w:r>
          </w:p>
          <w:p>
            <w:pPr>
              <w:pStyle w:val="null3"/>
              <w:jc w:val="both"/>
            </w:pPr>
            <w:r>
              <w:rPr>
                <w:rFonts w:ascii="仿宋_GB2312" w:hAnsi="仿宋_GB2312" w:cs="仿宋_GB2312" w:eastAsia="仿宋_GB2312"/>
              </w:rPr>
              <w:t>5.</w:t>
            </w:r>
            <w:r>
              <w:rPr>
                <w:rFonts w:ascii="仿宋_GB2312" w:hAnsi="仿宋_GB2312" w:cs="仿宋_GB2312" w:eastAsia="仿宋_GB2312"/>
              </w:rPr>
              <w:t>备份系统数据库形成基线，并进行基线管理以及配置管理，并对基线的调整以及配置的改变在每月进行报告。</w:t>
            </w:r>
          </w:p>
          <w:p>
            <w:pPr>
              <w:pStyle w:val="null3"/>
              <w:jc w:val="both"/>
            </w:pPr>
            <w:r>
              <w:rPr>
                <w:rFonts w:ascii="仿宋_GB2312" w:hAnsi="仿宋_GB2312" w:cs="仿宋_GB2312" w:eastAsia="仿宋_GB2312"/>
              </w:rPr>
              <w:t>6.</w:t>
            </w:r>
            <w:r>
              <w:rPr>
                <w:rFonts w:ascii="仿宋_GB2312" w:hAnsi="仿宋_GB2312" w:cs="仿宋_GB2312" w:eastAsia="仿宋_GB2312"/>
              </w:rPr>
              <w:t>为采购人免费提供技术培训。</w:t>
            </w:r>
          </w:p>
          <w:p>
            <w:pPr>
              <w:pStyle w:val="null3"/>
              <w:jc w:val="both"/>
            </w:pPr>
            <w:r>
              <w:rPr>
                <w:rFonts w:ascii="仿宋_GB2312" w:hAnsi="仿宋_GB2312" w:cs="仿宋_GB2312" w:eastAsia="仿宋_GB2312"/>
              </w:rPr>
              <w:t>7.</w:t>
            </w:r>
            <w:r>
              <w:rPr>
                <w:rFonts w:ascii="仿宋_GB2312" w:hAnsi="仿宋_GB2312" w:cs="仿宋_GB2312" w:eastAsia="仿宋_GB2312"/>
              </w:rPr>
              <w:t>负责解答采购人提出的与网络发展和技术应用相关的各种问题，设备的优化、调整、配置。</w:t>
            </w:r>
          </w:p>
          <w:p>
            <w:pPr>
              <w:pStyle w:val="null3"/>
              <w:jc w:val="both"/>
            </w:pPr>
            <w:r>
              <w:rPr>
                <w:rFonts w:ascii="仿宋_GB2312" w:hAnsi="仿宋_GB2312" w:cs="仿宋_GB2312" w:eastAsia="仿宋_GB2312"/>
              </w:rPr>
              <w:t>8.</w:t>
            </w:r>
            <w:r>
              <w:rPr>
                <w:rFonts w:ascii="仿宋_GB2312" w:hAnsi="仿宋_GB2312" w:cs="仿宋_GB2312" w:eastAsia="仿宋_GB2312"/>
              </w:rPr>
              <w:t>定期巡检服务。工作日每天检测相关系统接口、数据质量等重要节点，有问题及时向采购人报备（未报备默认为正常）。</w:t>
            </w:r>
          </w:p>
          <w:p>
            <w:pPr>
              <w:pStyle w:val="null3"/>
              <w:jc w:val="both"/>
            </w:pPr>
            <w:r>
              <w:rPr>
                <w:rFonts w:ascii="仿宋_GB2312" w:hAnsi="仿宋_GB2312" w:cs="仿宋_GB2312" w:eastAsia="仿宋_GB2312"/>
              </w:rPr>
              <w:t>9.</w:t>
            </w:r>
            <w:r>
              <w:rPr>
                <w:rFonts w:ascii="仿宋_GB2312" w:hAnsi="仿宋_GB2312" w:cs="仿宋_GB2312" w:eastAsia="仿宋_GB2312"/>
              </w:rPr>
              <w:t>软件升级服务。调研梳理系统功能现状，根据业主需求开展并完成系统优化升级工作。</w:t>
            </w:r>
          </w:p>
          <w:p>
            <w:pPr>
              <w:pStyle w:val="null3"/>
              <w:jc w:val="both"/>
            </w:pPr>
            <w:r>
              <w:rPr>
                <w:rFonts w:ascii="仿宋_GB2312" w:hAnsi="仿宋_GB2312" w:cs="仿宋_GB2312" w:eastAsia="仿宋_GB2312"/>
              </w:rPr>
              <w:t>10.</w:t>
            </w:r>
            <w:r>
              <w:rPr>
                <w:rFonts w:ascii="仿宋_GB2312" w:hAnsi="仿宋_GB2312" w:cs="仿宋_GB2312" w:eastAsia="仿宋_GB2312"/>
              </w:rPr>
              <w:t>应急演练与日常演示配合。配合采购人或其指定的第三方开展监测应急演练。参与配合采购人开展系统日常汇报演示。</w:t>
            </w:r>
          </w:p>
          <w:p>
            <w:pPr>
              <w:pStyle w:val="null3"/>
              <w:jc w:val="both"/>
            </w:pPr>
            <w:r>
              <w:rPr>
                <w:rFonts w:ascii="仿宋_GB2312" w:hAnsi="仿宋_GB2312" w:cs="仿宋_GB2312" w:eastAsia="仿宋_GB2312"/>
              </w:rPr>
              <w:t>11.</w:t>
            </w:r>
            <w:r>
              <w:rPr>
                <w:rFonts w:ascii="仿宋_GB2312" w:hAnsi="仿宋_GB2312" w:cs="仿宋_GB2312" w:eastAsia="仿宋_GB2312"/>
              </w:rPr>
              <w:t>按照提交重要节假日、重要时期、月度、季度、年度全省交通运行监测报告。</w:t>
            </w:r>
          </w:p>
          <w:p>
            <w:pPr>
              <w:pStyle w:val="null3"/>
              <w:jc w:val="both"/>
            </w:pPr>
            <w:r>
              <w:rPr>
                <w:rFonts w:ascii="仿宋_GB2312" w:hAnsi="仿宋_GB2312" w:cs="仿宋_GB2312" w:eastAsia="仿宋_GB2312"/>
              </w:rPr>
              <w:t>12.</w:t>
            </w:r>
            <w:r>
              <w:rPr>
                <w:rFonts w:ascii="仿宋_GB2312" w:hAnsi="仿宋_GB2312" w:cs="仿宋_GB2312" w:eastAsia="仿宋_GB2312"/>
              </w:rPr>
              <w:t>按照《陕西省交通运行监测中心信息化系统运维服务考核办法》，定期提交工作报告，配合完成运维服务考核和验收。</w:t>
            </w:r>
          </w:p>
          <w:p>
            <w:pPr>
              <w:pStyle w:val="null3"/>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年末，提交</w:t>
            </w:r>
            <w:r>
              <w:rPr>
                <w:rFonts w:ascii="仿宋_GB2312" w:hAnsi="仿宋_GB2312" w:cs="仿宋_GB2312" w:eastAsia="仿宋_GB2312"/>
                <w:sz w:val="18"/>
                <w:color w:val="000000"/>
              </w:rPr>
              <w:t>2025</w:t>
            </w:r>
            <w:r>
              <w:rPr>
                <w:rFonts w:ascii="仿宋_GB2312" w:hAnsi="仿宋_GB2312" w:cs="仿宋_GB2312" w:eastAsia="仿宋_GB2312"/>
                <w:sz w:val="18"/>
                <w:color w:val="000000"/>
              </w:rPr>
              <w:t>年度运维报告及下年度运维规划。</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量化指标：</w:t>
            </w:r>
          </w:p>
          <w:p>
            <w:pPr>
              <w:pStyle w:val="null3"/>
              <w:jc w:val="both"/>
            </w:pPr>
            <w:r>
              <w:rPr>
                <w:rFonts w:ascii="仿宋_GB2312" w:hAnsi="仿宋_GB2312" w:cs="仿宋_GB2312" w:eastAsia="仿宋_GB2312"/>
              </w:rPr>
              <w:t>1.</w:t>
            </w:r>
            <w:r>
              <w:rPr>
                <w:rFonts w:ascii="仿宋_GB2312" w:hAnsi="仿宋_GB2312" w:cs="仿宋_GB2312" w:eastAsia="仿宋_GB2312"/>
              </w:rPr>
              <w:t>承诺每周</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小时技术支持服务，全年保持实时电话响应。</w:t>
            </w:r>
          </w:p>
          <w:p>
            <w:pPr>
              <w:pStyle w:val="null3"/>
              <w:jc w:val="both"/>
            </w:pPr>
            <w:r>
              <w:rPr>
                <w:rFonts w:ascii="仿宋_GB2312" w:hAnsi="仿宋_GB2312" w:cs="仿宋_GB2312" w:eastAsia="仿宋_GB2312"/>
              </w:rPr>
              <w:t>2.</w:t>
            </w:r>
            <w:r>
              <w:rPr>
                <w:rFonts w:ascii="仿宋_GB2312" w:hAnsi="仿宋_GB2312" w:cs="仿宋_GB2312" w:eastAsia="仿宋_GB2312"/>
              </w:rPr>
              <w:t>远程诊断，及时的故障诊断。</w:t>
            </w:r>
          </w:p>
          <w:p>
            <w:pPr>
              <w:pStyle w:val="null3"/>
              <w:jc w:val="both"/>
            </w:pPr>
            <w:r>
              <w:rPr>
                <w:rFonts w:ascii="仿宋_GB2312" w:hAnsi="仿宋_GB2312" w:cs="仿宋_GB2312" w:eastAsia="仿宋_GB2312"/>
              </w:rPr>
              <w:t>3.</w:t>
            </w:r>
            <w:r>
              <w:rPr>
                <w:rFonts w:ascii="仿宋_GB2312" w:hAnsi="仿宋_GB2312" w:cs="仿宋_GB2312" w:eastAsia="仿宋_GB2312"/>
              </w:rPr>
              <w:t>现场</w:t>
            </w:r>
            <w:r>
              <w:rPr>
                <w:rFonts w:ascii="仿宋_GB2312" w:hAnsi="仿宋_GB2312" w:cs="仿宋_GB2312" w:eastAsia="仿宋_GB2312"/>
              </w:rPr>
              <w:t>+</w:t>
            </w:r>
            <w:r>
              <w:rPr>
                <w:rFonts w:ascii="仿宋_GB2312" w:hAnsi="仿宋_GB2312" w:cs="仿宋_GB2312" w:eastAsia="仿宋_GB2312"/>
              </w:rPr>
              <w:t>远程维护，及时解决客户问题。</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工作日内，接客户问题前往现场响应时间</w:t>
            </w:r>
            <w:r>
              <w:rPr>
                <w:rFonts w:ascii="仿宋_GB2312" w:hAnsi="仿宋_GB2312" w:cs="仿宋_GB2312" w:eastAsia="仿宋_GB2312"/>
                <w:sz w:val="18"/>
                <w:color w:val="000000"/>
              </w:rPr>
              <w:t>5</w:t>
            </w:r>
            <w:r>
              <w:rPr>
                <w:rFonts w:ascii="仿宋_GB2312" w:hAnsi="仿宋_GB2312" w:cs="仿宋_GB2312" w:eastAsia="仿宋_GB2312"/>
                <w:sz w:val="18"/>
                <w:color w:val="000000"/>
              </w:rPr>
              <w:t>分钟内，非工作日，前往现场响应时间</w:t>
            </w:r>
            <w:r>
              <w:rPr>
                <w:rFonts w:ascii="仿宋_GB2312" w:hAnsi="仿宋_GB2312" w:cs="仿宋_GB2312" w:eastAsia="仿宋_GB2312"/>
                <w:sz w:val="18"/>
                <w:color w:val="000000"/>
              </w:rPr>
              <w:t>1</w:t>
            </w:r>
            <w:r>
              <w:rPr>
                <w:rFonts w:ascii="仿宋_GB2312" w:hAnsi="仿宋_GB2312" w:cs="仿宋_GB2312" w:eastAsia="仿宋_GB2312"/>
                <w:sz w:val="18"/>
                <w:color w:val="000000"/>
              </w:rPr>
              <w:t>小时内。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派驻具有一年以上软件运维工作经验的技术人员在工作日、重大节日和重大事件期间驻场保障，协助开展应急突发事项处置工作，为驻场技术维护岗设置双人A、B角色互为备份。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运行维护服务期为1年。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按照《陕西省交通运行监测中心信息化系统运维服务考核办法》，定期提交工作报告，配合完成运维服务考核和验收。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合同履行期限结束，供应商未能按期完成服务期限的内容，供应商应继续履行自身义务直至符合合同约定。同时从合同履行期限届满之日开始起算，每逾期一天按合同总金额的0.03%向采购人支付违约金。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甲乙双方任何一方违反保密义务的，违约方应向对方支付合同总金额10%的违约金，违约金不足以弥补对方损失的还应当承担补足责任。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安全保密： 1.增强人员安全意识，严格按照相关规定流程操作。 2.签订《省交通监测调度平台维护保密协议》，确保信息安全。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根据供应商提供的项目总体分析（分析内容包括但不限于项目背景、采购需求及意义、项目的重点难点及具体要求等）进行综合评审。 1.对本项目的背景、采购需求及意义理解非常透彻，对项目重点难点及具体要求有具体分析及具体应对措施，得10分； 2.对本项目的背景、采购需求及意义有较好的理解，对项目重点难点及具体要求有较好的分析及应对措施，得6分； 3.对本项目的背景、采购需求及意义理解不到位，对项目重点难点及具体要求的分析较差，应对措施较差，得3分；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根据供应商提供的服务方案（包括但不限于项目各系统运行维护工作、定期编制全省交通运行监测报告编制等方面）进行评审。 1.服务方案内容全面完善、切实可行、有针对性，完全满足项目采购要求，得15分； 2.服务方案内容比较全面完善、切实可行，比较有针对性，基本满足项目采购要求，得10分； 3.服务方案内容不够全面完善、切实可行，针对性较差，部分满足项目采购要求，得5分； 4.未提供或其他情况不得分。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1.制定了详细、合理的项目实施计划及保证措施，且完全满足项目需求，得10分； 2.制定了比较详细、合理的项目实施计划及保证措施，基本满足项目需求，得6分； 3.制定的项目实施计划及保证措施较差，未满足项目需求，得3分；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1.配备至少1名驻场人员，提供工作日5×8小时驻场服务（1人），根据采购人要求提供重要时期现场值守服务，并为驻场技术维护岗设置双人A、B角色互为备份，完全满足，得2分；基本满足，得1分； 2.项目团队人员配备：拟投入项目团队人员分工明确、配置合理，经验丰富，专业性强，满足采购要求得5分；分工较明确、配置较合理、经验较丰富的，基本满足采购要求得3分；分工不够明确、配置一般、经验一般，得1分；未提供或其他情况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提供针对本项目制订符合实际情况的培训、行政管理制度及考核办法、风险管控、岗位考核细则、工作人员奖惩制度等。 1.各项制度方法完整明确，具有针对性，得6分； 2.各项制度方法较完整明确、针对性一般，得3分； 3.未提供或其他情况不得分。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1.项目质量保障措施内容详尽、完善、有针对性，得5分； 2.项目质量保障措施比较详尽、完善、比较有针对性，得3分； 3.项目质量保障措施较差，合理性、可行性较差，得1分； 4.未提供或其他情况不得分。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根据供应商提供的应急预案及突发事件应急保障措施进行评审。 1.应急预案内容分析全面、具体、合理，应对突发事件的保障措施详细、可行、有针对性，得8分； 2.应急预案内容分析较为全面、具体、合理，应对突发事件的保障措施较为详细、可行，比较有针对性，得5分； 3.应急预案内容分析不够全面、具体、合理，应对突发事件的保障措施不够详细，可行性、针对性较差，得2分； 4.未提供或其他情况不得分。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供应商提供针对本项目的售后服务方案。 1.售后服务方案详细，完全满足采购需求，得5分； 2.售后服务方案基本完整，基本满足采购需求，得2分； 3.未提供或其他情况不得分。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根据供应商针对本项目提供的保密方案（包括但不限于技术资料、商业秘密和商业信息、电子数据及现场管理的保密及应对措施等方面）进行评审。 1.保密方案全面完善，应对措施切实可行、有针对性，完全满足项目采购要求，得6分； 2.保密方案比较全面完善，应对措施基本切实可行，比较有针对性，基本满足项目采购要求，得3分； 3.保密方案不够全面完善，应对措施不够切实可行，针对性较差，部分满足项目采购要求，得1分； 4.未提供或其他情况不得分。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2022年01月01日起至磋商响应文件提交截止时间有类似运维服务项目业绩，每有1项得2分，最多得10分，未提供不得分。 注：以合同协议书复印件为准。时间以合同协议书签订时间为准。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企业服务能力</w:t>
            </w:r>
          </w:p>
        </w:tc>
        <w:tc>
          <w:tcPr>
            <w:tcW w:type="dxa" w:w="2492"/>
          </w:tcPr>
          <w:p>
            <w:pPr>
              <w:pStyle w:val="null3"/>
            </w:pPr>
            <w:r>
              <w:rPr>
                <w:rFonts w:ascii="仿宋_GB2312" w:hAnsi="仿宋_GB2312" w:cs="仿宋_GB2312" w:eastAsia="仿宋_GB2312"/>
              </w:rPr>
              <w:t>供应商具有质量管理体系认证证书得1分；供应商具有信息技术服务管理体系认证证书得1分；供应商具有信息安全管理体系认证证书得1分；未提供不得分。 注：须提供有效的认证证书的复印件或扫描件。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根据供应商针对本项目项目执行、技术支持、人员安排等方面提供的合理化建议进行评审： 1.建议内容明确、合理、具有较强的可行性得5分； 2.建议内容基本明确、合理、具有可行性，得3分； 3.建议内容较为含糊且缺乏可行性，得1分；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采用低价优先法计算即满足磋商文件要求且投标价格最低的投标报价为评标基准价，其价格为10分。其他供应商的价格分按照下列公式计算：投标报价得分＝（评标基准价/投标报价）×10。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首轮报价表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