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版本号：RTZB-2025-201820250508001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新渠道融合销售展示工具采购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RTZB-2025-2018</w:t>
      </w:r>
      <w:r>
        <w:br/>
      </w:r>
      <w:r>
        <w:br/>
      </w:r>
      <w:r>
        <w:br/>
      </w:r>
    </w:p>
    <w:p>
      <w:pPr>
        <w:pStyle w:val="null3"/>
        <w:jc w:val="center"/>
        <w:outlineLvl w:val="2"/>
      </w:pPr>
      <w:r>
        <w:rPr>
          <w:rFonts w:ascii="仿宋_GB2312" w:hAnsi="仿宋_GB2312" w:cs="仿宋_GB2312" w:eastAsia="仿宋_GB2312"/>
          <w:sz w:val="28"/>
          <w:b/>
        </w:rPr>
        <w:t>陕西省体育彩票管理中心</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陕西省体育彩票管理中心</w:t>
      </w:r>
      <w:r>
        <w:rPr>
          <w:rFonts w:ascii="仿宋_GB2312" w:hAnsi="仿宋_GB2312" w:cs="仿宋_GB2312" w:eastAsia="仿宋_GB2312"/>
        </w:rPr>
        <w:t>委托，拟对</w:t>
      </w:r>
      <w:r>
        <w:rPr>
          <w:rFonts w:ascii="仿宋_GB2312" w:hAnsi="仿宋_GB2312" w:cs="仿宋_GB2312" w:eastAsia="仿宋_GB2312"/>
        </w:rPr>
        <w:t>新渠道融合销售展示工具采购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新渠道融合销售展示工具采购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陕西省体育彩票管理中心现采购新渠道融合销售展示工具600个，以满足体彩产品销售展示需求，有效提升展示宣传和销售效果。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采购包1（新渠道融合销售展示工具）：属于专门面向中小企业采购。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rFonts w:ascii="仿宋_GB2312" w:hAnsi="仿宋_GB2312" w:cs="仿宋_GB2312" w:eastAsia="仿宋_GB2312"/>
        </w:rPr>
        <w:t>2、联合体投标：不接受联合体，提供非联合体声明。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陕西省体育彩票管理中心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029-85219176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陕西省体育彩票管理中心</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陕西省体育彩票管理中心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陕西省体育彩票管理中心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联系人：贾工 喻工</w:t>
      </w:r>
    </w:p>
    <w:p>
      <w:pPr>
        <w:pStyle w:val="null3"/>
      </w:pPr>
      <w:r>
        <w:rPr>
          <w:rFonts w:ascii="仿宋_GB2312" w:hAnsi="仿宋_GB2312" w:cs="仿宋_GB2312" w:eastAsia="仿宋_GB2312"/>
        </w:rPr>
        <w:t>联系电话：029-88224132-8007</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陕西省体育彩票管理中心现采购新渠道融合销售展示工具600个，以满足体彩产品销售展示需求，有效提升展示宣传和销售效果。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新渠道融合销售展示工具</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标的名称：新渠道融合销售展示工具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color w:val="0000FF"/>
              </w:rPr>
              <w:t>一、功能及材质</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融合销售展示工具具备跑马灯，通过动态照明提升展示效果，营造购彩氛围；</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将线缆集中在融合销售展示工具内部，同时丰富：品牌宣传、责任体彩、中奖展示、产品促销等展示功能；</w:t>
            </w:r>
          </w:p>
          <w:p>
            <w:pPr>
              <w:pStyle w:val="null3"/>
              <w:jc w:val="both"/>
            </w:pPr>
            <w:r>
              <w:rPr>
                <w:rFonts w:ascii="仿宋_GB2312" w:hAnsi="仿宋_GB2312" w:cs="仿宋_GB2312" w:eastAsia="仿宋_GB2312"/>
                <w:color w:val="0000FF"/>
              </w:rPr>
              <w:t>3.</w:t>
            </w:r>
            <w:r>
              <w:rPr>
                <w:rFonts w:ascii="仿宋_GB2312" w:hAnsi="仿宋_GB2312" w:cs="仿宋_GB2312" w:eastAsia="仿宋_GB2312"/>
                <w:color w:val="0000FF"/>
              </w:rPr>
              <w:t>即开票开放式陈列</w:t>
            </w:r>
          </w:p>
          <w:p>
            <w:pPr>
              <w:pStyle w:val="null3"/>
              <w:jc w:val="both"/>
            </w:pPr>
            <w:r>
              <w:rPr>
                <w:rFonts w:ascii="仿宋_GB2312" w:hAnsi="仿宋_GB2312" w:cs="仿宋_GB2312" w:eastAsia="仿宋_GB2312"/>
                <w:color w:val="0000FF"/>
              </w:rPr>
              <w:t>4.</w:t>
            </w:r>
            <w:r>
              <w:rPr>
                <w:rFonts w:ascii="仿宋_GB2312" w:hAnsi="仿宋_GB2312" w:cs="仿宋_GB2312" w:eastAsia="仿宋_GB2312"/>
                <w:color w:val="0000FF"/>
              </w:rPr>
              <w:t>材质主要采用亚克力，满足承重和防潮需求。</w:t>
            </w:r>
          </w:p>
          <w:p>
            <w:pPr>
              <w:pStyle w:val="null3"/>
              <w:jc w:val="both"/>
            </w:pPr>
            <w:r>
              <w:rPr>
                <w:rFonts w:ascii="仿宋_GB2312" w:hAnsi="仿宋_GB2312" w:cs="仿宋_GB2312" w:eastAsia="仿宋_GB2312"/>
                <w:color w:val="0000FF"/>
              </w:rPr>
              <w:t>5.</w:t>
            </w:r>
            <w:r>
              <w:rPr>
                <w:rFonts w:ascii="仿宋_GB2312" w:hAnsi="仿宋_GB2312" w:cs="仿宋_GB2312" w:eastAsia="仿宋_GB2312"/>
                <w:color w:val="0000FF"/>
              </w:rPr>
              <w:t>新渠道融合销售展示工具规格尺寸：</w:t>
            </w:r>
          </w:p>
          <w:p>
            <w:pPr>
              <w:pStyle w:val="null3"/>
              <w:jc w:val="both"/>
            </w:pPr>
            <w:r>
              <w:rPr>
                <w:rFonts w:ascii="仿宋_GB2312" w:hAnsi="仿宋_GB2312" w:cs="仿宋_GB2312" w:eastAsia="仿宋_GB2312"/>
                <w:color w:val="0000FF"/>
              </w:rPr>
              <w:t>5.1</w:t>
            </w:r>
            <w:r>
              <w:rPr>
                <w:rFonts w:ascii="仿宋_GB2312" w:hAnsi="仿宋_GB2312" w:cs="仿宋_GB2312" w:eastAsia="仿宋_GB2312"/>
                <w:color w:val="0000FF"/>
              </w:rPr>
              <w:t>成品尺寸 长宽高：</w:t>
            </w:r>
            <w:r>
              <w:rPr>
                <w:rFonts w:ascii="仿宋_GB2312" w:hAnsi="仿宋_GB2312" w:cs="仿宋_GB2312" w:eastAsia="仿宋_GB2312"/>
                <w:color w:val="0000FF"/>
              </w:rPr>
              <w:t>36cm</w:t>
            </w:r>
            <w:r>
              <w:rPr>
                <w:rFonts w:ascii="仿宋_GB2312" w:hAnsi="仿宋_GB2312" w:cs="仿宋_GB2312" w:eastAsia="仿宋_GB2312"/>
                <w:color w:val="0000FF"/>
              </w:rPr>
              <w:t>×</w:t>
            </w:r>
            <w:r>
              <w:rPr>
                <w:rFonts w:ascii="仿宋_GB2312" w:hAnsi="仿宋_GB2312" w:cs="仿宋_GB2312" w:eastAsia="仿宋_GB2312"/>
                <w:color w:val="0000FF"/>
              </w:rPr>
              <w:t>33.5cm</w:t>
            </w:r>
            <w:r>
              <w:rPr>
                <w:rFonts w:ascii="仿宋_GB2312" w:hAnsi="仿宋_GB2312" w:cs="仿宋_GB2312" w:eastAsia="仿宋_GB2312"/>
                <w:color w:val="0000FF"/>
              </w:rPr>
              <w:t>×</w:t>
            </w:r>
            <w:r>
              <w:rPr>
                <w:rFonts w:ascii="仿宋_GB2312" w:hAnsi="仿宋_GB2312" w:cs="仿宋_GB2312" w:eastAsia="仿宋_GB2312"/>
                <w:color w:val="0000FF"/>
              </w:rPr>
              <w:t>35cm</w:t>
            </w:r>
          </w:p>
          <w:p>
            <w:pPr>
              <w:pStyle w:val="null3"/>
              <w:jc w:val="both"/>
            </w:pPr>
            <w:r>
              <w:rPr>
                <w:rFonts w:ascii="仿宋_GB2312" w:hAnsi="仿宋_GB2312" w:cs="仿宋_GB2312" w:eastAsia="仿宋_GB2312"/>
                <w:color w:val="0000FF"/>
              </w:rPr>
              <w:t>5.2</w:t>
            </w:r>
            <w:r>
              <w:rPr>
                <w:rFonts w:ascii="仿宋_GB2312" w:hAnsi="仿宋_GB2312" w:cs="仿宋_GB2312" w:eastAsia="仿宋_GB2312"/>
                <w:color w:val="0000FF"/>
              </w:rPr>
              <w:t>展架部分 长宽高：</w:t>
            </w:r>
            <w:r>
              <w:rPr>
                <w:rFonts w:ascii="仿宋_GB2312" w:hAnsi="仿宋_GB2312" w:cs="仿宋_GB2312" w:eastAsia="仿宋_GB2312"/>
                <w:color w:val="0000FF"/>
              </w:rPr>
              <w:t>34cm</w:t>
            </w:r>
            <w:r>
              <w:rPr>
                <w:rFonts w:ascii="仿宋_GB2312" w:hAnsi="仿宋_GB2312" w:cs="仿宋_GB2312" w:eastAsia="仿宋_GB2312"/>
                <w:color w:val="0000FF"/>
              </w:rPr>
              <w:t>×</w:t>
            </w:r>
            <w:r>
              <w:rPr>
                <w:rFonts w:ascii="仿宋_GB2312" w:hAnsi="仿宋_GB2312" w:cs="仿宋_GB2312" w:eastAsia="仿宋_GB2312"/>
                <w:color w:val="0000FF"/>
              </w:rPr>
              <w:t>7.5cm</w:t>
            </w:r>
            <w:r>
              <w:rPr>
                <w:rFonts w:ascii="仿宋_GB2312" w:hAnsi="仿宋_GB2312" w:cs="仿宋_GB2312" w:eastAsia="仿宋_GB2312"/>
                <w:color w:val="0000FF"/>
              </w:rPr>
              <w:t>×</w:t>
            </w:r>
            <w:r>
              <w:rPr>
                <w:rFonts w:ascii="仿宋_GB2312" w:hAnsi="仿宋_GB2312" w:cs="仿宋_GB2312" w:eastAsia="仿宋_GB2312"/>
                <w:color w:val="0000FF"/>
              </w:rPr>
              <w:t>28cm</w:t>
            </w:r>
          </w:p>
          <w:p>
            <w:pPr>
              <w:pStyle w:val="null3"/>
              <w:jc w:val="both"/>
            </w:pPr>
            <w:r>
              <w:rPr>
                <w:rFonts w:ascii="仿宋_GB2312" w:hAnsi="仿宋_GB2312" w:cs="仿宋_GB2312" w:eastAsia="仿宋_GB2312"/>
                <w:color w:val="0000FF"/>
              </w:rPr>
              <w:t>参考图片：</w:t>
            </w:r>
          </w:p>
          <w:p>
            <w:pPr>
              <w:pStyle w:val="null3"/>
            </w:pPr>
            <w:r>
              <w:drawing>
                <wp:inline distT="0" distR="0" distB="0" distL="0">
                  <wp:extent cx="1621155" cy="239823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2398237"/>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二、样品</w:t>
            </w:r>
          </w:p>
          <w:p>
            <w:pPr>
              <w:pStyle w:val="null3"/>
              <w:jc w:val="both"/>
            </w:pPr>
            <w:r>
              <w:rPr>
                <w:rFonts w:ascii="仿宋_GB2312" w:hAnsi="仿宋_GB2312" w:cs="仿宋_GB2312" w:eastAsia="仿宋_GB2312"/>
                <w:sz w:val="24"/>
              </w:rPr>
              <w:t>1.本项目要求提供样品并对样品进行评审，所供样品应与所投产品一致，否则视为未提供。</w:t>
            </w:r>
          </w:p>
          <w:p>
            <w:pPr>
              <w:pStyle w:val="null3"/>
              <w:jc w:val="both"/>
            </w:pPr>
            <w:r>
              <w:rPr>
                <w:rFonts w:ascii="仿宋_GB2312" w:hAnsi="仿宋_GB2312" w:cs="仿宋_GB2312" w:eastAsia="仿宋_GB2312"/>
                <w:sz w:val="24"/>
              </w:rPr>
              <w:t>2.样品内容：</w:t>
            </w:r>
          </w:p>
          <w:p>
            <w:pPr>
              <w:pStyle w:val="null3"/>
              <w:jc w:val="both"/>
            </w:pPr>
            <w:r>
              <w:rPr>
                <w:rFonts w:ascii="仿宋_GB2312" w:hAnsi="仿宋_GB2312" w:cs="仿宋_GB2312" w:eastAsia="仿宋_GB2312"/>
                <w:sz w:val="24"/>
              </w:rPr>
              <w:t>新渠道融合销售展示工具一个。样品标识：投标人名称。</w:t>
            </w:r>
          </w:p>
          <w:p>
            <w:pPr>
              <w:pStyle w:val="null3"/>
              <w:jc w:val="both"/>
            </w:pPr>
            <w:r>
              <w:rPr>
                <w:rFonts w:ascii="仿宋_GB2312" w:hAnsi="仿宋_GB2312" w:cs="仿宋_GB2312" w:eastAsia="仿宋_GB2312"/>
                <w:sz w:val="24"/>
              </w:rPr>
              <w:t>3.投标样品递交：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1）时间：同投标截止时间，逾期不予受理。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2）地点：西安市合力紫郡A座2203室。</w:t>
            </w:r>
          </w:p>
          <w:p>
            <w:pPr>
              <w:pStyle w:val="null3"/>
              <w:jc w:val="both"/>
            </w:pPr>
            <w:r>
              <w:rPr>
                <w:rFonts w:ascii="仿宋_GB2312" w:hAnsi="仿宋_GB2312" w:cs="仿宋_GB2312" w:eastAsia="仿宋_GB2312"/>
                <w:sz w:val="24"/>
              </w:rPr>
              <w:t>4.样品退还：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1）评标后接代理机构通知后两个工作日内自行领回，未在规定时间内领回的后果自负。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2）中标人样品由采购人封存，在项目验收合格后由采购人退还。</w:t>
            </w:r>
          </w:p>
          <w:p>
            <w:pPr>
              <w:pStyle w:val="null3"/>
              <w:jc w:val="both"/>
            </w:pPr>
            <w:r>
              <w:rPr>
                <w:rFonts w:ascii="仿宋_GB2312" w:hAnsi="仿宋_GB2312" w:cs="仿宋_GB2312" w:eastAsia="仿宋_GB2312"/>
                <w:sz w:val="24"/>
              </w:rPr>
              <w:t>5.各投标人自行承担样品搬运过程中发生的费用和损失。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由采购人组织，按照采购合同、投标文件、招标文件、国家和行业相关标准验收。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一、投标要求： 1.本项目通过电子化交易系统投标，供应商除需在电子化交易系统上传投标文件外，另外还需在投标截止时间前，向代理机构递交密封完好的系统生成的纸质版投标文件（一份，胶装），密封封套上标注项目名称和供应商名称。有关报价文件，供应商可以不提供。 2.开标当日，供应商应在开标大厅等候并保持通讯畅通，以便出现询标时能及时在线。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 投标人或投标文件存在下列情况之一的为无效投标： 1．投标人名称与注册证照名称不符的； 2．不具备招标文件规定的资格条件或证明材料无效或不全的； 3．无投标有效期或投标有效期不足的； 4．执行标准明显低于采购需求的； 5．不能实质性响应招标文件采购内容的； 6．报价明显低于其他合格投标人的报价，在现场规定的时间内不能提供有效证明材料且经评标委员会认定形成不正当竞争的； 7．提供虚假证明，开具虚假资质，出现虚假应答或故意隐瞒行为的，除按无效投标处理外还按政府采购相关规定进行相应的处罚； 8．不符合法律、法规和招标文件规定的其他无效情形。 四、中小企业： 是否属于中小企业，供应商按《统计上大中小微型企业划分办法（2017）》（国统字﹝2017﹞213号）工业划型标准判定，并承担责任。如判定原则与第四章及附件格式不一致的，以此为准，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 五、本文件中供应商也称投标人，采购文件也称招标文件。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合同签订后30天</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付款：合同签订后10日内支付合同总金额的50％，验收合格后10日内，支付合同总金额的 50%。</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投标产品品目、数量符合采购文件的要求。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验收合格后1年</w:t>
            </w:r>
          </w:p>
        </w:tc>
        <w:tc>
          <w:tcPr>
            <w:tcW w:type="dxa" w:w="1661"/>
          </w:tcPr>
          <w:p>
            <w:pPr>
              <w:pStyle w:val="null3"/>
            </w:pPr>
            <w:r>
              <w:rPr>
                <w:rFonts w:ascii="仿宋_GB2312" w:hAnsi="仿宋_GB2312" w:cs="仿宋_GB2312" w:eastAsia="仿宋_GB2312"/>
              </w:rPr>
              <w:t>质保期.docx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功能及参数</w:t>
            </w:r>
          </w:p>
        </w:tc>
        <w:tc>
          <w:tcPr>
            <w:tcW w:type="dxa" w:w="2492"/>
          </w:tcPr>
          <w:p>
            <w:pPr>
              <w:pStyle w:val="null3"/>
            </w:pPr>
            <w:r>
              <w:rPr>
                <w:rFonts w:ascii="仿宋_GB2312" w:hAnsi="仿宋_GB2312" w:cs="仿宋_GB2312" w:eastAsia="仿宋_GB2312"/>
              </w:rPr>
              <w:t>投标产品的技术参数和功能需满足采购需求。 1.具有跑马灯设计，得3分。 2.能同时展示品牌宣传、责任体彩、中奖展示、产品促销等功能，得12分，每缺少1种扣3分，扣完为止。 3.采样亚克力材质，得3分。 4.具备即开票开放式陈列，得3分。 5.规格尺寸，得3分。 注：以《投标产品技术指标偏离表》为准。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投标人需结合自身实力和经验提供供货实施方案，方案包括但不限于：①备货组织②人员投入③配送安装调试④验收等。 1.备货计划详细，时间节点具体，便于采购人监督核查。根据响应程度、详细程度、可行性得［2-0]分。 2.各环节人力投入具体，责任清晰，资金调配保障可靠，能较好的保证项目实施，便于采购人监督核查。根据响应程度、详细程度、可行性得［2-0]分。 3.配送安装计划详细，组织有序，链条完整，措施规范。根据响应程度、详细程度、可行性得［2-0]分。 4.验收资料完整，验收组织计划充分。根据响应程度、详细程度、可行性得［2-0]分。 注：①以上各项如未提供或内容可行性差或与项目不符，对应项不得分。②内容空洞，或内容前后重复、堆砌，或属于照搬照抄针对性差，对应项最高0.5分。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1.承诺提供每周7×24小时免费服务支持，全年365天紧急事件1小时响应，承诺更换备件在1个工作日内完成，满足以上要求得2分。（投标人须出具承诺函，未承诺不得分）。 2.根据提供的售后服务内容（不限于人员、服务内容等）的可行性、可靠性、合理性，计[3-0]分。注：①如未提供或内容可行性差或与项目不符不得分。②内容空洞，或内容前后重复、堆砌，或属于照搬照抄针对性差，最高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对所投设备有完善的、可执行的技术培训方案（方案中包含但不限于设备的日常维护及简单故障的维修等），根据所供方案的可行性、详细性计[3-0]分，未提供不得分，内容空洞，或内容前后重复、堆砌，或属于照搬照抄针对性差，最高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投标人需结合自身实力和经验提供应急预案方案，方案包括但不限于：①突发情况预测②处理措施等。 应急预案全面，应对措施具体详细，响应迅速，根据响应程度、详细性、可行性的得［2-0]分，未提供不得分，内容空洞，或内容前后重复、堆砌，或属于照搬照抄针对性差，最高0.5分。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1份2022年1月1日至今类似项目（指与本项目在产品类型、使用功能、使用场景等方面相同或相近的项目）业绩得2分，最高10分。注：①业绩以合同为准，时间以合同签订时间为准。②需提供完整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本项目要求投标人提供样品1个。根据所提供样品的制作工艺，功能、安装便利性，制作材料、牢固度，显示效果（色彩、稳定性）赋分。 1.制作工艺，计［3-0）分； 2.功能设计，计［3-0）分； 3.安装的便利性，计［3-0）分； 4.显示效果（色彩、稳定性），计［3-0）分； 5.牢固度，计［3-0）分； 6.制作材料（含电气电路部分），计［3-0）分。 注：未提供样品不得分，但不作为无效投标。</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详见附件：样品.docx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