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FFBAB">
      <w:pPr>
        <w:spacing w:line="360" w:lineRule="auto"/>
        <w:ind w:firstLine="984" w:firstLineChars="350"/>
        <w:jc w:val="center"/>
        <w:rPr>
          <w:rFonts w:ascii="宋体" w:hAnsi="宋体" w:cs="仿宋"/>
          <w:b/>
          <w:bCs/>
          <w:color w:val="auto"/>
          <w:sz w:val="28"/>
          <w:szCs w:val="28"/>
          <w:highlight w:val="none"/>
        </w:rPr>
      </w:pPr>
      <w:bookmarkStart w:id="34" w:name="_GoBack"/>
      <w:r>
        <w:rPr>
          <w:rFonts w:hint="eastAsia" w:ascii="宋体" w:hAnsi="宋体" w:cs="仿宋"/>
          <w:b/>
          <w:bCs/>
          <w:color w:val="auto"/>
          <w:sz w:val="28"/>
          <w:szCs w:val="28"/>
          <w:highlight w:val="none"/>
        </w:rPr>
        <w:t xml:space="preserve">                                合同编号：</w:t>
      </w:r>
    </w:p>
    <w:p w14:paraId="4D87D255">
      <w:pPr>
        <w:spacing w:line="360" w:lineRule="auto"/>
        <w:ind w:firstLine="1124" w:firstLineChars="350"/>
        <w:jc w:val="left"/>
        <w:rPr>
          <w:rFonts w:ascii="宋体" w:hAnsi="宋体" w:cs="仿宋"/>
          <w:b/>
          <w:bCs/>
          <w:color w:val="auto"/>
          <w:sz w:val="32"/>
          <w:szCs w:val="32"/>
          <w:highlight w:val="none"/>
        </w:rPr>
      </w:pPr>
    </w:p>
    <w:p w14:paraId="1F17FEF5">
      <w:pPr>
        <w:pStyle w:val="5"/>
        <w:spacing w:line="360" w:lineRule="auto"/>
        <w:rPr>
          <w:rFonts w:ascii="宋体" w:hAnsi="宋体" w:cs="仿宋"/>
          <w:bCs/>
          <w:color w:val="auto"/>
          <w:sz w:val="32"/>
          <w:szCs w:val="32"/>
          <w:highlight w:val="none"/>
        </w:rPr>
      </w:pPr>
    </w:p>
    <w:p w14:paraId="79627855">
      <w:pPr>
        <w:spacing w:line="360" w:lineRule="auto"/>
        <w:jc w:val="center"/>
        <w:rPr>
          <w:rFonts w:ascii="宋体" w:hAnsi="宋体" w:cs="仿宋"/>
          <w:b/>
          <w:bCs/>
          <w:color w:val="auto"/>
          <w:sz w:val="32"/>
          <w:szCs w:val="32"/>
          <w:highlight w:val="none"/>
        </w:rPr>
      </w:pPr>
      <w:r>
        <w:rPr>
          <w:rFonts w:hint="eastAsia" w:ascii="宋体" w:hAnsi="宋体" w:cs="仿宋"/>
          <w:b/>
          <w:bCs/>
          <w:color w:val="auto"/>
          <w:sz w:val="32"/>
          <w:szCs w:val="32"/>
          <w:highlight w:val="none"/>
          <w:u w:val="single"/>
        </w:rPr>
        <w:t xml:space="preserve">                           </w:t>
      </w:r>
      <w:r>
        <w:rPr>
          <w:rFonts w:hint="eastAsia" w:ascii="宋体" w:hAnsi="宋体" w:cs="仿宋"/>
          <w:b/>
          <w:bCs/>
          <w:color w:val="auto"/>
          <w:sz w:val="32"/>
          <w:szCs w:val="32"/>
          <w:highlight w:val="none"/>
        </w:rPr>
        <w:t>采购项目</w:t>
      </w:r>
    </w:p>
    <w:p w14:paraId="3CE773B5">
      <w:pPr>
        <w:spacing w:line="360" w:lineRule="auto"/>
        <w:rPr>
          <w:rFonts w:ascii="宋体" w:hAnsi="宋体" w:cs="仿宋"/>
          <w:color w:val="auto"/>
          <w:sz w:val="32"/>
          <w:szCs w:val="32"/>
          <w:highlight w:val="none"/>
        </w:rPr>
      </w:pPr>
    </w:p>
    <w:p w14:paraId="08937144">
      <w:pPr>
        <w:spacing w:line="360" w:lineRule="auto"/>
        <w:rPr>
          <w:rFonts w:ascii="宋体" w:hAnsi="宋体" w:cs="仿宋"/>
          <w:color w:val="auto"/>
          <w:sz w:val="32"/>
          <w:szCs w:val="32"/>
          <w:highlight w:val="none"/>
        </w:rPr>
      </w:pPr>
    </w:p>
    <w:p w14:paraId="6784D80F">
      <w:pPr>
        <w:pStyle w:val="5"/>
        <w:spacing w:line="360" w:lineRule="auto"/>
        <w:rPr>
          <w:rFonts w:ascii="宋体" w:hAnsi="宋体" w:cs="仿宋"/>
          <w:color w:val="auto"/>
          <w:sz w:val="32"/>
          <w:szCs w:val="32"/>
          <w:highlight w:val="none"/>
        </w:rPr>
      </w:pPr>
    </w:p>
    <w:p w14:paraId="06099645">
      <w:pPr>
        <w:pStyle w:val="5"/>
        <w:spacing w:line="360" w:lineRule="auto"/>
        <w:rPr>
          <w:rFonts w:ascii="宋体" w:hAnsi="宋体" w:cs="仿宋"/>
          <w:color w:val="auto"/>
          <w:sz w:val="32"/>
          <w:szCs w:val="32"/>
          <w:highlight w:val="none"/>
        </w:rPr>
      </w:pPr>
    </w:p>
    <w:p w14:paraId="5B99FDE6">
      <w:pPr>
        <w:spacing w:line="360" w:lineRule="auto"/>
        <w:rPr>
          <w:rFonts w:ascii="宋体" w:hAnsi="宋体" w:cs="仿宋"/>
          <w:color w:val="auto"/>
          <w:sz w:val="32"/>
          <w:szCs w:val="32"/>
          <w:highlight w:val="none"/>
        </w:rPr>
      </w:pPr>
    </w:p>
    <w:p w14:paraId="03E8A2DC">
      <w:pPr>
        <w:spacing w:line="360" w:lineRule="auto"/>
        <w:rPr>
          <w:rFonts w:ascii="宋体" w:hAnsi="宋体" w:cs="仿宋"/>
          <w:color w:val="auto"/>
          <w:sz w:val="32"/>
          <w:szCs w:val="32"/>
          <w:highlight w:val="none"/>
        </w:rPr>
      </w:pPr>
    </w:p>
    <w:p w14:paraId="078C0AE5">
      <w:pPr>
        <w:spacing w:line="360" w:lineRule="auto"/>
        <w:jc w:val="center"/>
        <w:rPr>
          <w:rFonts w:ascii="宋体" w:hAnsi="宋体" w:cs="仿宋"/>
          <w:b/>
          <w:color w:val="auto"/>
          <w:sz w:val="32"/>
          <w:szCs w:val="32"/>
          <w:highlight w:val="none"/>
        </w:rPr>
      </w:pPr>
    </w:p>
    <w:p w14:paraId="758A815E">
      <w:pPr>
        <w:spacing w:line="360" w:lineRule="auto"/>
        <w:rPr>
          <w:rFonts w:ascii="宋体" w:hAnsi="宋体" w:cs="仿宋"/>
          <w:b/>
          <w:bCs/>
          <w:color w:val="auto"/>
          <w:sz w:val="32"/>
          <w:szCs w:val="32"/>
          <w:highlight w:val="none"/>
        </w:rPr>
      </w:pPr>
    </w:p>
    <w:p w14:paraId="6FBA2AC9">
      <w:pPr>
        <w:spacing w:line="360" w:lineRule="auto"/>
        <w:ind w:firstLine="1584" w:firstLineChars="493"/>
        <w:jc w:val="left"/>
        <w:rPr>
          <w:rFonts w:ascii="宋体" w:hAnsi="宋体" w:cs="仿宋"/>
          <w:b/>
          <w:bCs/>
          <w:color w:val="auto"/>
          <w:sz w:val="32"/>
          <w:szCs w:val="32"/>
          <w:highlight w:val="none"/>
          <w:u w:val="single"/>
        </w:rPr>
      </w:pPr>
      <w:r>
        <w:rPr>
          <w:rFonts w:hint="eastAsia" w:ascii="宋体" w:hAnsi="宋体" w:cs="仿宋"/>
          <w:b/>
          <w:bCs/>
          <w:color w:val="auto"/>
          <w:sz w:val="32"/>
          <w:szCs w:val="32"/>
          <w:highlight w:val="none"/>
        </w:rPr>
        <w:t>采购人：</w:t>
      </w:r>
      <w:r>
        <w:rPr>
          <w:rFonts w:hint="eastAsia" w:ascii="宋体" w:hAnsi="宋体" w:cs="仿宋"/>
          <w:b/>
          <w:bCs/>
          <w:color w:val="auto"/>
          <w:sz w:val="32"/>
          <w:szCs w:val="32"/>
          <w:highlight w:val="none"/>
          <w:u w:val="single"/>
        </w:rPr>
        <w:t xml:space="preserve">                       </w:t>
      </w:r>
    </w:p>
    <w:p w14:paraId="5A4BA323">
      <w:pPr>
        <w:spacing w:line="360" w:lineRule="auto"/>
        <w:ind w:firstLine="1584" w:firstLineChars="493"/>
        <w:jc w:val="left"/>
        <w:rPr>
          <w:rFonts w:ascii="宋体" w:hAnsi="宋体" w:cs="仿宋"/>
          <w:b/>
          <w:bCs/>
          <w:color w:val="auto"/>
          <w:sz w:val="32"/>
          <w:szCs w:val="32"/>
          <w:highlight w:val="none"/>
          <w:u w:val="single"/>
        </w:rPr>
      </w:pPr>
      <w:r>
        <w:rPr>
          <w:rFonts w:hint="eastAsia" w:ascii="宋体" w:hAnsi="宋体" w:cs="仿宋"/>
          <w:b/>
          <w:bCs/>
          <w:color w:val="auto"/>
          <w:sz w:val="32"/>
          <w:szCs w:val="32"/>
          <w:highlight w:val="none"/>
        </w:rPr>
        <w:t>供应商：</w:t>
      </w:r>
      <w:r>
        <w:rPr>
          <w:rFonts w:hint="eastAsia" w:ascii="宋体" w:hAnsi="宋体" w:cs="仿宋"/>
          <w:b/>
          <w:bCs/>
          <w:color w:val="auto"/>
          <w:sz w:val="32"/>
          <w:szCs w:val="32"/>
          <w:highlight w:val="none"/>
          <w:u w:val="single"/>
        </w:rPr>
        <w:t xml:space="preserve">                       </w:t>
      </w:r>
    </w:p>
    <w:p w14:paraId="5313F326">
      <w:pPr>
        <w:spacing w:line="500" w:lineRule="exact"/>
        <w:jc w:val="center"/>
        <w:rPr>
          <w:rFonts w:ascii="宋体" w:hAnsi="宋体" w:cs="仿宋"/>
          <w:b/>
          <w:bCs/>
          <w:color w:val="auto"/>
          <w:sz w:val="32"/>
          <w:szCs w:val="32"/>
          <w:highlight w:val="none"/>
        </w:rPr>
      </w:pPr>
    </w:p>
    <w:p w14:paraId="30410294">
      <w:pPr>
        <w:pStyle w:val="9"/>
        <w:spacing w:line="500" w:lineRule="exact"/>
        <w:ind w:firstLine="643"/>
        <w:jc w:val="center"/>
        <w:rPr>
          <w:rFonts w:ascii="宋体" w:hAnsi="宋体" w:cs="仿宋"/>
          <w:b/>
          <w:bCs/>
          <w:color w:val="auto"/>
          <w:sz w:val="32"/>
          <w:szCs w:val="32"/>
          <w:highlight w:val="none"/>
        </w:rPr>
      </w:pPr>
      <w:r>
        <w:rPr>
          <w:rFonts w:hint="eastAsia" w:ascii="宋体" w:hAnsi="宋体" w:cs="仿宋"/>
          <w:b/>
          <w:bCs/>
          <w:color w:val="auto"/>
          <w:sz w:val="32"/>
          <w:szCs w:val="32"/>
          <w:highlight w:val="none"/>
        </w:rPr>
        <w:t>二〇二</w:t>
      </w:r>
      <w:r>
        <w:rPr>
          <w:rFonts w:hint="eastAsia" w:ascii="宋体" w:hAnsi="宋体" w:cs="仿宋"/>
          <w:b/>
          <w:bCs/>
          <w:color w:val="auto"/>
          <w:sz w:val="32"/>
          <w:szCs w:val="32"/>
          <w:highlight w:val="none"/>
          <w:lang w:val="en-US" w:eastAsia="zh-CN"/>
        </w:rPr>
        <w:t xml:space="preserve">  </w:t>
      </w:r>
      <w:r>
        <w:rPr>
          <w:rFonts w:hint="eastAsia" w:ascii="宋体" w:hAnsi="宋体" w:cs="仿宋"/>
          <w:b/>
          <w:bCs/>
          <w:color w:val="auto"/>
          <w:sz w:val="32"/>
          <w:szCs w:val="32"/>
          <w:highlight w:val="none"/>
        </w:rPr>
        <w:t>年 月</w:t>
      </w:r>
    </w:p>
    <w:p w14:paraId="04E5FF05">
      <w:pPr>
        <w:widowControl/>
        <w:jc w:val="left"/>
        <w:rPr>
          <w:rFonts w:ascii="宋体" w:hAnsi="宋体" w:cs="仿宋"/>
          <w:b/>
          <w:bCs/>
          <w:color w:val="auto"/>
          <w:sz w:val="32"/>
          <w:szCs w:val="32"/>
          <w:highlight w:val="none"/>
        </w:rPr>
      </w:pPr>
      <w:r>
        <w:rPr>
          <w:rFonts w:ascii="宋体" w:hAnsi="宋体" w:cs="仿宋"/>
          <w:b/>
          <w:bCs/>
          <w:color w:val="auto"/>
          <w:sz w:val="32"/>
          <w:szCs w:val="32"/>
          <w:highlight w:val="none"/>
        </w:rPr>
        <w:br w:type="page"/>
      </w:r>
    </w:p>
    <w:p w14:paraId="4C2E8EFA">
      <w:pPr>
        <w:pStyle w:val="9"/>
        <w:spacing w:line="360" w:lineRule="auto"/>
        <w:ind w:firstLine="199" w:firstLineChars="95"/>
        <w:jc w:val="left"/>
        <w:rPr>
          <w:rFonts w:ascii="宋体" w:hAnsi="宋体" w:eastAsia="宋体"/>
          <w:color w:val="auto"/>
          <w:sz w:val="21"/>
          <w:szCs w:val="21"/>
          <w:highlight w:val="none"/>
        </w:rPr>
      </w:pPr>
      <w:r>
        <w:rPr>
          <w:rFonts w:hint="eastAsia" w:ascii="宋体" w:hAnsi="宋体" w:eastAsia="宋体"/>
          <w:color w:val="auto"/>
          <w:sz w:val="21"/>
          <w:szCs w:val="21"/>
          <w:highlight w:val="none"/>
        </w:rPr>
        <w:t>采购人（甲方）：</w:t>
      </w:r>
      <w:r>
        <w:rPr>
          <w:rFonts w:hint="eastAsia" w:ascii="宋体" w:hAnsi="宋体" w:eastAsia="宋体"/>
          <w:color w:val="auto"/>
          <w:sz w:val="21"/>
          <w:szCs w:val="21"/>
          <w:highlight w:val="none"/>
          <w:u w:val="single"/>
        </w:rPr>
        <w:t>陕西省公路局</w:t>
      </w:r>
    </w:p>
    <w:p w14:paraId="4C8A38A3">
      <w:pPr>
        <w:pStyle w:val="9"/>
        <w:spacing w:line="360" w:lineRule="auto"/>
        <w:ind w:firstLine="0" w:firstLineChars="0"/>
        <w:rPr>
          <w:rFonts w:ascii="宋体" w:hAnsi="宋体" w:eastAsia="宋体"/>
          <w:color w:val="auto"/>
          <w:sz w:val="21"/>
          <w:szCs w:val="21"/>
          <w:highlight w:val="none"/>
          <w:u w:val="single"/>
        </w:rPr>
      </w:pPr>
      <w:r>
        <w:rPr>
          <w:rFonts w:hint="eastAsia" w:ascii="宋体" w:hAnsi="宋体" w:eastAsia="宋体"/>
          <w:color w:val="auto"/>
          <w:sz w:val="21"/>
          <w:szCs w:val="21"/>
          <w:highlight w:val="none"/>
        </w:rPr>
        <w:t xml:space="preserve">  供应商（乙方）：</w:t>
      </w:r>
      <w:r>
        <w:rPr>
          <w:rFonts w:hint="eastAsia" w:ascii="宋体" w:hAnsi="宋体" w:eastAsia="宋体"/>
          <w:color w:val="auto"/>
          <w:sz w:val="21"/>
          <w:szCs w:val="21"/>
          <w:highlight w:val="none"/>
          <w:u w:val="single"/>
        </w:rPr>
        <w:t xml:space="preserve">            </w:t>
      </w:r>
    </w:p>
    <w:p w14:paraId="7BEF938C">
      <w:pPr>
        <w:pStyle w:val="9"/>
        <w:spacing w:before="120" w:beforeLines="50" w:line="360" w:lineRule="auto"/>
        <w:ind w:firstLine="420"/>
        <w:rPr>
          <w:rFonts w:ascii="宋体" w:hAnsi="宋体" w:eastAsia="宋体"/>
          <w:color w:val="auto"/>
          <w:sz w:val="21"/>
          <w:szCs w:val="21"/>
          <w:highlight w:val="none"/>
        </w:rPr>
      </w:pPr>
      <w:r>
        <w:rPr>
          <w:rFonts w:hint="eastAsia" w:ascii="宋体" w:hAnsi="宋体" w:eastAsia="宋体"/>
          <w:color w:val="auto"/>
          <w:sz w:val="21"/>
          <w:szCs w:val="21"/>
          <w:highlight w:val="none"/>
        </w:rPr>
        <w:t>根据《中华人民共和国政府采购法》及实施条例、《中华人民共和国民法典》》和甲方 本采购项目招标文件、投标文件等有关规定，为确保甲方采购项目的顺利实施，甲、乙双方在平等自愿原则下签订本合同，并共同遵守如下条款：</w:t>
      </w:r>
    </w:p>
    <w:p w14:paraId="50D6F971">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项目基本情况</w:t>
      </w:r>
    </w:p>
    <w:p w14:paraId="76CC6375">
      <w:pPr>
        <w:tabs>
          <w:tab w:val="left" w:pos="2554"/>
          <w:tab w:val="center" w:pos="4656"/>
        </w:tabs>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2025年计划抽检普通干线公路在建项目22个，工程实体抽检点数19317个，对抽检工程项目实体外观、工地试验室、内业资料、施工安全等进行综合检查</w:t>
      </w:r>
      <w:r>
        <w:rPr>
          <w:rFonts w:hint="eastAsia" w:ascii="宋体" w:hAnsi="宋体" w:eastAsia="宋体" w:cs="宋体"/>
          <w:color w:val="auto"/>
          <w:szCs w:val="21"/>
          <w:highlight w:val="none"/>
          <w:lang w:eastAsia="zh-CN"/>
        </w:rPr>
        <w:t>。</w:t>
      </w:r>
    </w:p>
    <w:p w14:paraId="63B5F540">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合同期限</w:t>
      </w:r>
    </w:p>
    <w:p w14:paraId="43042969">
      <w:pPr>
        <w:tabs>
          <w:tab w:val="left" w:pos="2554"/>
          <w:tab w:val="center" w:pos="4656"/>
        </w:tabs>
        <w:spacing w:line="360" w:lineRule="auto"/>
        <w:ind w:firstLine="420" w:firstLineChars="200"/>
        <w:jc w:val="left"/>
        <w:rPr>
          <w:rFonts w:ascii="宋体" w:hAnsi="宋体" w:eastAsia="宋体" w:cs="宋体"/>
          <w:color w:val="auto"/>
          <w:szCs w:val="21"/>
          <w:highlight w:val="none"/>
        </w:rPr>
      </w:pPr>
      <w:r>
        <w:rPr>
          <w:rFonts w:hint="eastAsia"/>
          <w:color w:val="auto"/>
          <w:highlight w:val="none"/>
        </w:rPr>
        <w:t>自合同签订之日起</w:t>
      </w:r>
      <w:r>
        <w:rPr>
          <w:rFonts w:hint="eastAsia"/>
          <w:color w:val="auto"/>
          <w:highlight w:val="none"/>
          <w:lang w:eastAsia="zh-CN"/>
        </w:rPr>
        <w:t>至</w:t>
      </w:r>
      <w:r>
        <w:rPr>
          <w:rFonts w:hint="eastAsia"/>
          <w:color w:val="auto"/>
          <w:highlight w:val="none"/>
          <w:lang w:val="en-US" w:eastAsia="zh-CN"/>
        </w:rPr>
        <w:t>2025年11月30日止</w:t>
      </w:r>
      <w:r>
        <w:rPr>
          <w:rFonts w:hint="eastAsia"/>
          <w:color w:val="auto"/>
          <w:highlight w:val="none"/>
        </w:rPr>
        <w:t>。</w:t>
      </w:r>
    </w:p>
    <w:p w14:paraId="661721BC">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服务内容与质量标准</w:t>
      </w:r>
    </w:p>
    <w:p w14:paraId="4FAE4832">
      <w:pPr>
        <w:numPr>
          <w:ilvl w:val="0"/>
          <w:numId w:val="2"/>
        </w:numPr>
        <w:tabs>
          <w:tab w:val="left" w:pos="2554"/>
          <w:tab w:val="center" w:pos="4656"/>
        </w:tabs>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服务内容：</w:t>
      </w:r>
      <w:r>
        <w:rPr>
          <w:rFonts w:hint="eastAsia" w:ascii="宋体" w:hAnsi="宋体" w:eastAsia="宋体"/>
          <w:color w:val="auto"/>
          <w:kern w:val="0"/>
          <w:szCs w:val="21"/>
          <w:highlight w:val="none"/>
        </w:rPr>
        <w:t>本次公路工程建设项目质量抽检</w:t>
      </w:r>
      <w:r>
        <w:rPr>
          <w:rFonts w:hint="eastAsia" w:ascii="宋体" w:hAnsi="宋体" w:eastAsia="宋体" w:cs="宋体"/>
          <w:color w:val="auto"/>
          <w:szCs w:val="21"/>
          <w:highlight w:val="none"/>
        </w:rPr>
        <w:t>主要</w:t>
      </w:r>
      <w:r>
        <w:rPr>
          <w:rFonts w:hint="eastAsia" w:ascii="宋体" w:hAnsi="宋体" w:eastAsia="宋体"/>
          <w:color w:val="auto"/>
          <w:kern w:val="0"/>
          <w:szCs w:val="21"/>
          <w:highlight w:val="none"/>
        </w:rPr>
        <w:t>内容为</w:t>
      </w:r>
      <w:r>
        <w:rPr>
          <w:rFonts w:hint="eastAsia" w:ascii="宋体" w:hAnsi="宋体" w:eastAsia="宋体" w:cs="宋体"/>
          <w:color w:val="auto"/>
          <w:szCs w:val="21"/>
          <w:highlight w:val="none"/>
        </w:rPr>
        <w:t>抽查部分在建国省干线公路的工程实体及交通产品质量、施工工艺和质量保证资料等。根据抽检结果对全省在建项目质量进行分析，按时出具检测报告。</w:t>
      </w:r>
    </w:p>
    <w:p w14:paraId="29B9AF3D">
      <w:pPr>
        <w:numPr>
          <w:ilvl w:val="0"/>
          <w:numId w:val="2"/>
        </w:numPr>
        <w:tabs>
          <w:tab w:val="left" w:pos="2554"/>
          <w:tab w:val="center" w:pos="4656"/>
        </w:tabs>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质量标准：服务质量应符合本次政府采购招标文件第三章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招标项目技术、服务、商务及其他要求内容</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的相关要求。</w:t>
      </w:r>
    </w:p>
    <w:p w14:paraId="34EED16D">
      <w:pPr>
        <w:tabs>
          <w:tab w:val="left" w:pos="2554"/>
          <w:tab w:val="center" w:pos="4656"/>
        </w:tabs>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（三）服务地点：全省普通干线公路在建项目所在地。</w:t>
      </w:r>
    </w:p>
    <w:p w14:paraId="1FCF4282">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服务费用</w:t>
      </w:r>
    </w:p>
    <w:p w14:paraId="4B0A72F7">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1.本合同执行期间服务总费用不变，甲方无须另向乙方支付本合同规定之外的其他任何费用。</w:t>
      </w:r>
    </w:p>
    <w:p w14:paraId="332DEF7E">
      <w:pPr>
        <w:spacing w:line="360" w:lineRule="auto"/>
        <w:ind w:firstLine="420"/>
        <w:rPr>
          <w:rFonts w:ascii="宋体" w:hAnsi="宋体" w:cs="宋体"/>
          <w:color w:val="auto"/>
          <w:szCs w:val="21"/>
          <w:highlight w:val="none"/>
        </w:rPr>
      </w:pPr>
      <w:r>
        <w:rPr>
          <w:rFonts w:hint="eastAsia" w:ascii="宋体" w:hAnsi="宋体" w:cs="宋体"/>
          <w:color w:val="auto"/>
          <w:szCs w:val="21"/>
          <w:highlight w:val="none"/>
        </w:rPr>
        <w:t>2.本合同金额为（大写）：人民币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元）。其中：不含增值税价款为（大写）：人民币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元），增值税税率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289489A">
      <w:pPr>
        <w:spacing w:line="360" w:lineRule="auto"/>
        <w:ind w:firstLine="525" w:firstLineChars="250"/>
        <w:rPr>
          <w:rFonts w:ascii="宋体" w:hAnsi="宋体" w:eastAsia="宋体" w:cs="宋体"/>
          <w:color w:val="auto"/>
          <w:szCs w:val="21"/>
          <w:highlight w:val="none"/>
        </w:rPr>
      </w:pPr>
      <w:r>
        <w:rPr>
          <w:rFonts w:hint="eastAsia" w:ascii="宋体" w:hAnsi="宋体" w:cs="宋体"/>
          <w:color w:val="auto"/>
          <w:szCs w:val="21"/>
          <w:highlight w:val="none"/>
        </w:rPr>
        <w:t>3.上述费用主要包含完成技术服务相关工作的一切费用，包括但不限于人员工资、交通费、设备费、专家论证费（如有）、技术咨询费、检测费、食宿费、材料费、保险费、税金等相关全部费用、以及合同文件明示或未明示的完成本合同的所有责任、义务和风险。</w:t>
      </w:r>
    </w:p>
    <w:p w14:paraId="50A58B53">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服务费支付方式</w:t>
      </w:r>
    </w:p>
    <w:p w14:paraId="410BFAE1">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付款方式：</w:t>
      </w:r>
    </w:p>
    <w:p w14:paraId="5E64DEB7">
      <w:pPr>
        <w:pStyle w:val="4"/>
        <w:spacing w:line="360" w:lineRule="auto"/>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1．双方签署合同后</w:t>
      </w:r>
      <w:r>
        <w:rPr>
          <w:rFonts w:hint="eastAsia" w:ascii="宋体" w:hAnsi="宋体" w:eastAsia="宋体" w:cs="宋体"/>
          <w:color w:val="auto"/>
          <w:sz w:val="21"/>
          <w:szCs w:val="21"/>
          <w:highlight w:val="none"/>
          <w:lang w:val="en-US" w:eastAsia="zh-CN"/>
        </w:rPr>
        <w:t>15日内</w:t>
      </w:r>
      <w:r>
        <w:rPr>
          <w:rFonts w:hint="eastAsia" w:ascii="宋体" w:hAnsi="宋体" w:eastAsia="宋体" w:cs="宋体"/>
          <w:color w:val="auto"/>
          <w:sz w:val="21"/>
          <w:szCs w:val="21"/>
          <w:highlight w:val="none"/>
        </w:rPr>
        <w:t>甲方向乙方支付合同总金额的60%。</w:t>
      </w:r>
    </w:p>
    <w:p w14:paraId="18D57BDF">
      <w:pPr>
        <w:pStyle w:val="4"/>
        <w:spacing w:line="360" w:lineRule="auto"/>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按期完成合同约定内容，</w:t>
      </w:r>
      <w:r>
        <w:rPr>
          <w:rFonts w:hint="eastAsia" w:ascii="宋体" w:hAnsi="宋体" w:eastAsia="宋体" w:cs="宋体"/>
          <w:color w:val="auto"/>
          <w:sz w:val="21"/>
          <w:szCs w:val="21"/>
          <w:highlight w:val="none"/>
        </w:rPr>
        <w:t>提交项目全部成果后</w:t>
      </w:r>
      <w:r>
        <w:rPr>
          <w:rFonts w:hint="eastAsia" w:ascii="宋体" w:hAnsi="宋体" w:eastAsia="宋体" w:cs="宋体"/>
          <w:color w:val="auto"/>
          <w:sz w:val="21"/>
          <w:szCs w:val="21"/>
          <w:highlight w:val="none"/>
          <w:lang w:val="en-US" w:eastAsia="zh-CN"/>
        </w:rPr>
        <w:t>15日内</w:t>
      </w:r>
      <w:r>
        <w:rPr>
          <w:rFonts w:hint="eastAsia" w:ascii="宋体" w:hAnsi="宋体" w:eastAsia="宋体" w:cs="宋体"/>
          <w:color w:val="auto"/>
          <w:sz w:val="21"/>
          <w:szCs w:val="21"/>
          <w:highlight w:val="none"/>
        </w:rPr>
        <w:t>甲方向乙方支付合同总金额的40%。</w:t>
      </w:r>
    </w:p>
    <w:p w14:paraId="5A5320E7">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3．甲方每次付款前，乙方均应开具等额的税务发票，否则甲方有权拒绝付款，且不应承担迟延付款的责任。</w:t>
      </w:r>
    </w:p>
    <w:p w14:paraId="44BE4AC3">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4．乙方超出任务书范围的成果以及未通过甲方审查的成果，甲方有权不予结算和支付相应费用。</w:t>
      </w:r>
    </w:p>
    <w:p w14:paraId="35784199">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5．甲方有权在项目实施过程中，要求乙方对不满足质量要求的工作进行返工，期限不予顺延。</w:t>
      </w:r>
    </w:p>
    <w:p w14:paraId="7A609936">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知识产权</w:t>
      </w:r>
    </w:p>
    <w:p w14:paraId="065159A6">
      <w:pPr>
        <w:tabs>
          <w:tab w:val="left" w:pos="1440"/>
        </w:tabs>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乙方应保证所提供的服务或其任何一部分均不会侵犯任何第三方的专利权、商标权或著作权。否则，因此产生的纠纷及责任由乙方承担，对甲方造成损失的，还应予以赔偿</w:t>
      </w:r>
      <w:r>
        <w:rPr>
          <w:rFonts w:hint="eastAsia" w:ascii="宋体" w:hAnsi="宋体" w:eastAsia="宋体" w:cs="宋体"/>
          <w:color w:val="auto"/>
          <w:szCs w:val="21"/>
          <w:highlight w:val="none"/>
          <w:lang w:eastAsia="zh-CN"/>
        </w:rPr>
        <w:t>。</w:t>
      </w:r>
    </w:p>
    <w:p w14:paraId="572B9269">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无产权瑕疵条款</w:t>
      </w:r>
    </w:p>
    <w:p w14:paraId="07350C8F">
      <w:pPr>
        <w:tabs>
          <w:tab w:val="left" w:pos="1440"/>
        </w:tabs>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乙方保证所提供的服务的所有权完全属于乙方且无任何抵押、查封等产权瑕疵。如有产权瑕疵的，视为乙方违约。乙方应负担由此而产生的一切损失。</w:t>
      </w:r>
    </w:p>
    <w:p w14:paraId="04C2534F">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履约保证金</w:t>
      </w:r>
    </w:p>
    <w:p w14:paraId="27C27029">
      <w:pPr>
        <w:widowControl/>
        <w:spacing w:line="360" w:lineRule="auto"/>
        <w:ind w:firstLine="420" w:firstLineChars="200"/>
        <w:jc w:val="left"/>
        <w:rPr>
          <w:rFonts w:ascii="宋体" w:hAnsi="宋体" w:eastAsia="宋体" w:cs="宋体"/>
          <w:b/>
          <w:color w:val="auto"/>
          <w:szCs w:val="21"/>
          <w:highlight w:val="none"/>
        </w:rPr>
      </w:pPr>
      <w:r>
        <w:rPr>
          <w:rFonts w:hint="eastAsia" w:ascii="宋体" w:hAnsi="宋体" w:eastAsia="宋体" w:cs="宋体"/>
          <w:color w:val="auto"/>
          <w:kern w:val="0"/>
          <w:szCs w:val="21"/>
          <w:highlight w:val="none"/>
        </w:rPr>
        <w:t>1.乙方在签订本合同之前，向甲方构提交履约保证金人民币为</w:t>
      </w:r>
      <w:r>
        <w:rPr>
          <w:rFonts w:hint="eastAsia" w:ascii="宋体" w:hAnsi="宋体" w:eastAsia="宋体" w:cs="宋体"/>
          <w:color w:val="auto"/>
          <w:szCs w:val="21"/>
          <w:highlight w:val="none"/>
          <w:lang w:val="zh-CN"/>
        </w:rPr>
        <w:t>成交价的</w:t>
      </w:r>
      <w:r>
        <w:rPr>
          <w:rFonts w:hint="eastAsia" w:ascii="宋体" w:hAnsi="宋体" w:eastAsia="宋体" w:cs="宋体"/>
          <w:color w:val="auto"/>
          <w:szCs w:val="21"/>
          <w:highlight w:val="none"/>
        </w:rPr>
        <w:t>5%</w:t>
      </w:r>
      <w:r>
        <w:rPr>
          <w:rFonts w:hint="eastAsia" w:ascii="宋体" w:hAnsi="宋体" w:eastAsia="宋体" w:cs="宋体"/>
          <w:color w:val="auto"/>
          <w:kern w:val="0"/>
          <w:szCs w:val="21"/>
          <w:highlight w:val="none"/>
        </w:rPr>
        <w:t>。</w:t>
      </w:r>
    </w:p>
    <w:p w14:paraId="62B6E519">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14:paraId="4A3DEC34">
      <w:pPr>
        <w:adjustRightInd w:val="0"/>
        <w:spacing w:line="360" w:lineRule="auto"/>
        <w:ind w:firstLine="420" w:firstLineChars="200"/>
        <w:jc w:val="left"/>
        <w:textAlignment w:val="baseline"/>
        <w:rPr>
          <w:rFonts w:ascii="宋体" w:hAnsi="宋体" w:eastAsia="宋体" w:cs="宋体"/>
          <w:bCs/>
          <w:color w:val="auto"/>
          <w:szCs w:val="21"/>
          <w:highlight w:val="none"/>
        </w:rPr>
      </w:pPr>
      <w:r>
        <w:rPr>
          <w:rFonts w:hint="eastAsia" w:ascii="宋体" w:hAnsi="宋体" w:eastAsia="宋体" w:cs="宋体"/>
          <w:bCs/>
          <w:color w:val="auto"/>
          <w:szCs w:val="21"/>
          <w:highlight w:val="none"/>
        </w:rPr>
        <w:t>3.履约保证金作为违约金的一部分及用于补偿甲方因乙方不能履行合同义务而蒙受的损失。</w:t>
      </w:r>
    </w:p>
    <w:p w14:paraId="25FF6A2A">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服务期限结束后，乙方出具项目履约情况报告，甲方通过履约验收合格且无任何争议后，向乙方退还履约保证金（无息）</w:t>
      </w:r>
      <w:r>
        <w:rPr>
          <w:rFonts w:hint="eastAsia" w:ascii="宋体" w:hAnsi="宋体" w:eastAsia="宋体" w:cs="宋体"/>
          <w:color w:val="auto"/>
          <w:kern w:val="0"/>
          <w:szCs w:val="21"/>
          <w:highlight w:val="none"/>
        </w:rPr>
        <w:t>。</w:t>
      </w:r>
    </w:p>
    <w:p w14:paraId="74FD53B4">
      <w:pPr>
        <w:widowControl/>
        <w:spacing w:line="360" w:lineRule="auto"/>
        <w:ind w:firstLine="420" w:firstLineChars="200"/>
        <w:jc w:val="left"/>
        <w:rPr>
          <w:rFonts w:ascii="宋体" w:hAnsi="宋体" w:eastAsia="宋体" w:cs="宋体"/>
          <w:bCs/>
          <w:color w:val="auto"/>
          <w:szCs w:val="21"/>
          <w:highlight w:val="none"/>
        </w:rPr>
      </w:pPr>
      <w:r>
        <w:rPr>
          <w:rFonts w:hint="eastAsia" w:ascii="宋体" w:hAnsi="宋体" w:eastAsia="宋体" w:cs="宋体"/>
          <w:color w:val="auto"/>
          <w:szCs w:val="21"/>
          <w:highlight w:val="none"/>
        </w:rPr>
        <w:t>5.乙方可以履约担保函的形式交纳履约保证金。</w:t>
      </w:r>
    </w:p>
    <w:p w14:paraId="65FE6D91">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甲方的权利和义务</w:t>
      </w:r>
    </w:p>
    <w:p w14:paraId="553F64EE">
      <w:pPr>
        <w:adjustRightInd w:val="0"/>
        <w:spacing w:line="360" w:lineRule="auto"/>
        <w:ind w:firstLine="420" w:firstLineChars="200"/>
        <w:jc w:val="left"/>
        <w:textAlignment w:val="baseline"/>
        <w:rPr>
          <w:rFonts w:ascii="宋体" w:hAnsi="宋体" w:eastAsia="宋体" w:cs="宋体"/>
          <w:bCs/>
          <w:color w:val="auto"/>
          <w:szCs w:val="21"/>
          <w:highlight w:val="none"/>
        </w:rPr>
      </w:pPr>
      <w:r>
        <w:rPr>
          <w:rFonts w:hint="eastAsia" w:ascii="宋体" w:hAnsi="宋体" w:eastAsia="宋体" w:cs="宋体"/>
          <w:bCs/>
          <w:color w:val="auto"/>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6605B2D7">
      <w:pPr>
        <w:adjustRightInd w:val="0"/>
        <w:spacing w:line="360" w:lineRule="auto"/>
        <w:ind w:firstLine="420" w:firstLineChars="200"/>
        <w:jc w:val="left"/>
        <w:textAlignment w:val="baseline"/>
        <w:rPr>
          <w:rFonts w:ascii="宋体" w:hAnsi="宋体" w:eastAsia="宋体" w:cs="宋体"/>
          <w:bCs/>
          <w:color w:val="auto"/>
          <w:szCs w:val="21"/>
          <w:highlight w:val="none"/>
        </w:rPr>
      </w:pPr>
      <w:r>
        <w:rPr>
          <w:rFonts w:hint="eastAsia" w:ascii="宋体" w:hAnsi="宋体" w:eastAsia="宋体" w:cs="宋体"/>
          <w:bCs/>
          <w:color w:val="auto"/>
          <w:szCs w:val="21"/>
          <w:highlight w:val="none"/>
        </w:rPr>
        <w:t>2.甲方有权依据双方签订的考评办法对乙方提供的服务进行定期考评。当考评结果未达到标准时，有权依据考评办法约定的数额扣除履约保证金。</w:t>
      </w:r>
    </w:p>
    <w:p w14:paraId="4CEDB04A">
      <w:pPr>
        <w:adjustRightInd w:val="0"/>
        <w:spacing w:line="360" w:lineRule="auto"/>
        <w:ind w:firstLine="420" w:firstLineChars="200"/>
        <w:jc w:val="left"/>
        <w:textAlignment w:val="baseline"/>
        <w:rPr>
          <w:rFonts w:ascii="宋体" w:hAnsi="宋体" w:eastAsia="宋体" w:cs="宋体"/>
          <w:bCs/>
          <w:color w:val="auto"/>
          <w:szCs w:val="21"/>
          <w:highlight w:val="none"/>
        </w:rPr>
      </w:pPr>
      <w:r>
        <w:rPr>
          <w:rFonts w:hint="eastAsia" w:ascii="宋体" w:hAnsi="宋体" w:eastAsia="宋体" w:cs="宋体"/>
          <w:bCs/>
          <w:color w:val="auto"/>
          <w:szCs w:val="21"/>
          <w:highlight w:val="none"/>
        </w:rPr>
        <w:t>3.负责检查监督乙方管理工作的实施及制度的执行情况。</w:t>
      </w:r>
    </w:p>
    <w:p w14:paraId="3D96F448">
      <w:pPr>
        <w:adjustRightInd w:val="0"/>
        <w:spacing w:line="360" w:lineRule="auto"/>
        <w:ind w:firstLine="420" w:firstLineChars="200"/>
        <w:jc w:val="left"/>
        <w:textAlignment w:val="baseline"/>
        <w:rPr>
          <w:rFonts w:ascii="宋体" w:hAnsi="宋体" w:eastAsia="宋体" w:cs="宋体"/>
          <w:bCs/>
          <w:color w:val="auto"/>
          <w:szCs w:val="21"/>
          <w:highlight w:val="none"/>
        </w:rPr>
      </w:pPr>
      <w:r>
        <w:rPr>
          <w:rFonts w:hint="eastAsia" w:ascii="宋体" w:hAnsi="宋体" w:eastAsia="宋体" w:cs="宋体"/>
          <w:bCs/>
          <w:color w:val="auto"/>
          <w:szCs w:val="21"/>
          <w:highlight w:val="none"/>
        </w:rPr>
        <w:t>4.根据本合同规定，按时向乙方支付应付服务费用。</w:t>
      </w:r>
    </w:p>
    <w:p w14:paraId="2D2CC12C">
      <w:pPr>
        <w:adjustRightInd w:val="0"/>
        <w:spacing w:line="360" w:lineRule="auto"/>
        <w:ind w:firstLine="420" w:firstLineChars="200"/>
        <w:jc w:val="left"/>
        <w:textAlignment w:val="baseline"/>
        <w:rPr>
          <w:rFonts w:ascii="宋体" w:hAnsi="宋体" w:eastAsia="宋体" w:cs="宋体"/>
          <w:bCs/>
          <w:color w:val="auto"/>
          <w:szCs w:val="21"/>
          <w:highlight w:val="none"/>
        </w:rPr>
      </w:pPr>
      <w:r>
        <w:rPr>
          <w:rFonts w:hint="eastAsia" w:ascii="宋体" w:hAnsi="宋体" w:eastAsia="宋体" w:cs="宋体"/>
          <w:bCs/>
          <w:color w:val="auto"/>
          <w:szCs w:val="21"/>
          <w:highlight w:val="none"/>
        </w:rPr>
        <w:t>5.国家法律、法规所规定由甲方承担的其它责任。</w:t>
      </w:r>
    </w:p>
    <w:p w14:paraId="24FEA897">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乙方的权利和义务</w:t>
      </w:r>
    </w:p>
    <w:p w14:paraId="3F2436C9">
      <w:pPr>
        <w:numPr>
          <w:ilvl w:val="0"/>
          <w:numId w:val="3"/>
        </w:numPr>
        <w:spacing w:before="120" w:beforeLines="50" w:after="120" w:afterLines="50"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乙方应按照招标文件的要求、投标文件中服务方案提供服务，并以招标文件中《技术要求》和合同作为服务质量是否合格的验收标准，对于招标文件及合同要求的解释权归甲方所有。</w:t>
      </w:r>
    </w:p>
    <w:p w14:paraId="348E6151">
      <w:pPr>
        <w:numPr>
          <w:ilvl w:val="0"/>
          <w:numId w:val="3"/>
        </w:numPr>
        <w:spacing w:before="120" w:beforeLines="50" w:after="120" w:afterLines="50"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乙方不得将本合同所列项目工作任务转包给第三方。乙方分包或转包的，相应责任仍由乙方承担</w:t>
      </w:r>
      <w:r>
        <w:rPr>
          <w:rFonts w:hint="eastAsia" w:ascii="宋体" w:hAnsi="宋体" w:eastAsia="宋体" w:cs="宋体"/>
          <w:bCs/>
          <w:color w:val="auto"/>
          <w:szCs w:val="21"/>
          <w:highlight w:val="none"/>
          <w:lang w:eastAsia="zh-CN"/>
        </w:rPr>
        <w:t>。</w:t>
      </w:r>
    </w:p>
    <w:p w14:paraId="33DC52D6">
      <w:pPr>
        <w:numPr>
          <w:ilvl w:val="0"/>
          <w:numId w:val="3"/>
        </w:numPr>
        <w:spacing w:before="120" w:beforeLines="50" w:after="120" w:afterLines="50"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乙方应按照合同实施项目计划，并对项目经费实行单独核算、专款专用，保证项目经费的合理使用。项目经费使用必须满足完成本合同约定的任务。乙方有义务按照甲方的管理要求按期提供经费使用情况和有关财务资料，并于项目成果验收时提交项目决算报告。经费使用过程中，乙方应严格遵守财政部、交通运输部及甲方的有关经费管理规定。</w:t>
      </w:r>
    </w:p>
    <w:p w14:paraId="064B7668">
      <w:pPr>
        <w:numPr>
          <w:ilvl w:val="0"/>
          <w:numId w:val="3"/>
        </w:numPr>
        <w:spacing w:before="120" w:beforeLines="50" w:after="120" w:afterLines="50"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在合同履行过程中，乙方应保障乙方工作人员的安全，并尽相应的注意义务，乙方工作人员自身发生的安全事故及给第三人造成人身或财产损失的，由乙方负责，与甲方无关。</w:t>
      </w:r>
    </w:p>
    <w:p w14:paraId="06B519F6">
      <w:pPr>
        <w:numPr>
          <w:ilvl w:val="0"/>
          <w:numId w:val="3"/>
        </w:numPr>
        <w:spacing w:before="120" w:beforeLines="50" w:after="120" w:afterLines="50"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乙方按照《合同》及相关补充规定的要求提交全部成果资料，经甲方审查合格，并在甲乙双方完成项目经费最终结算后，退还履约担保金，合同终止。</w:t>
      </w:r>
    </w:p>
    <w:p w14:paraId="77D4BA14">
      <w:pPr>
        <w:numPr>
          <w:ilvl w:val="0"/>
          <w:numId w:val="3"/>
        </w:numPr>
        <w:spacing w:before="120" w:beforeLines="50" w:after="120" w:afterLines="5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乙方在项目实施过程中形成的中间及最终成果归甲方所有，乙方应严格按照有关法律法规加强管理、合法使用，未经甲方同意，乙方不得以任何方式、理由发表或向第三者提供，也不得用于其他目的，不得私自拷贝、备份或转作他用。</w:t>
      </w:r>
    </w:p>
    <w:p w14:paraId="38CF0957">
      <w:pPr>
        <w:numPr>
          <w:ilvl w:val="0"/>
          <w:numId w:val="3"/>
        </w:numPr>
        <w:spacing w:before="120" w:beforeLines="50" w:after="120" w:afterLines="5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乙方在项目实施过程中形成的中间及最终成果等为保密资料。乙方须严格按照《中华人民共和国保守国家秘密法》、《中华人民共和国保守国家秘密法实施办法》、《计算机信息系统保密管理暂行规定》、《国家秘密载体保密管理的规定》等相关法律法规及管理文件的要求，对保密资料进行有效管理，做好安全保密工作，不得泄密。</w:t>
      </w:r>
    </w:p>
    <w:p w14:paraId="64127A74">
      <w:pPr>
        <w:numPr>
          <w:ilvl w:val="0"/>
          <w:numId w:val="3"/>
        </w:numPr>
        <w:spacing w:before="120" w:beforeLines="50" w:after="120" w:afterLines="5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乙方为保密资料的使用者和安全管理者。乙方不得将保密资料用于本项目以外的任务，不得擅自复制、转让或转借；不得以商业目的使用该数据或者开发和生产产品；乙方可根据需要对数据内容进行必要的修改和对数据格式进转换，但未经许可，不得将修改、转换后的数据对外发布和提供；乙方不得将原始数据或衍生成果在计算机互联网上传输、登载；乙方在项目结束之后须将原始数据以及基于原始数据所产生的相关成果销毁，不得留存。任何格式或者任何复制品视同原始数据。</w:t>
      </w:r>
    </w:p>
    <w:p w14:paraId="2194205D">
      <w:pPr>
        <w:numPr>
          <w:ilvl w:val="0"/>
          <w:numId w:val="3"/>
        </w:numPr>
        <w:spacing w:before="120" w:beforeLines="50" w:after="120" w:afterLines="5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乙方存放保密资料的设施与条什应符合国家保密、消防及档案管理的有关规定和要求，并建立完善的数据资料保密内部管理制度；经批准复制的载体要进行编号与登记，按同等密级进行管理；涉密计算机系统应按相关规定办理批准使用手续，严防失泄密事件的发生。</w:t>
      </w:r>
    </w:p>
    <w:p w14:paraId="71A3FF95">
      <w:pPr>
        <w:numPr>
          <w:ilvl w:val="0"/>
          <w:numId w:val="3"/>
        </w:numPr>
        <w:spacing w:before="120" w:beforeLines="50" w:after="120" w:afterLines="5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乙方有责任和义务进行经常性的保密教育和检查，落实各项保密措施，使所属人员知悉与其工作有关的保密范围和各项保密制度。一旦发生泄密涉密事件，乙方负全部责任。</w:t>
      </w:r>
    </w:p>
    <w:p w14:paraId="4251BAD2">
      <w:pPr>
        <w:numPr>
          <w:ilvl w:val="0"/>
          <w:numId w:val="3"/>
        </w:numPr>
        <w:spacing w:before="120" w:beforeLines="50" w:after="120" w:afterLines="5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保密条款具有独立法律效力，不因合同其他条款无效或解除而失效。合同终止后，甲乙双方亦应持续履行本条所述各项保密责任。保密期限自任何一方获知该商业秘密和国家秘密之日起至本条规定的秘密成为公众信息之日止。</w:t>
      </w:r>
    </w:p>
    <w:p w14:paraId="68768BCD">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违约责任</w:t>
      </w:r>
    </w:p>
    <w:p w14:paraId="27ADD82B">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1．因甲方原因造成乙方停工、返工及合同停止，乙方不承担违约责任。</w:t>
      </w:r>
    </w:p>
    <w:p w14:paraId="71E2F4A1">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2．乙方未经甲方同意将项目中的部分工作任务分包给第三方，或将项目转包给第三方承担，甲方有权要求乙方予以纠正或解除合同，</w:t>
      </w:r>
      <w:r>
        <w:rPr>
          <w:rFonts w:hint="eastAsia" w:ascii="宋体" w:hAnsi="宋体" w:eastAsia="宋体" w:cs="宋体"/>
          <w:color w:val="auto"/>
          <w:szCs w:val="21"/>
          <w:highlight w:val="none"/>
          <w:lang w:eastAsia="zh-Hans"/>
        </w:rPr>
        <w:t>并有权要求乙方按照合同总金额的向</w:t>
      </w: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eastAsia="zh-Hans"/>
        </w:rPr>
        <w:t>甲方承担违约责任，并赔偿给甲方造成的一切损失</w:t>
      </w:r>
      <w:r>
        <w:rPr>
          <w:rFonts w:hint="eastAsia" w:ascii="宋体" w:hAnsi="宋体" w:eastAsia="宋体" w:cs="宋体"/>
          <w:color w:val="auto"/>
          <w:szCs w:val="21"/>
          <w:highlight w:val="none"/>
        </w:rPr>
        <w:t>。</w:t>
      </w:r>
    </w:p>
    <w:p w14:paraId="770D02C1">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3．乙方向甲方提交的所有资料成果必须保证真实可靠，一经发现存在弄虚作假的行为，甲方有权追索项目款，解除合同，乙方应按照合同总金额的20%向甲方承担违约责任。</w:t>
      </w:r>
    </w:p>
    <w:p w14:paraId="00E1A863">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4．除上述情况，对本合同的任何违反均构成违约。当一方认为对方的违约属于严重违约时，若按照相关法律规定或按照通常的理解或认识，确属对合同的履行有重大影响，则应当被认为属于严重违约。</w:t>
      </w:r>
      <w:r>
        <w:rPr>
          <w:rFonts w:hint="eastAsia"/>
          <w:color w:val="auto"/>
          <w:highlight w:val="none"/>
          <w:lang w:val="en-US" w:eastAsia="zh-CN"/>
        </w:rPr>
        <w:t>若双方对某一违约是否属于严重违约仍有争议，可以由</w:t>
      </w:r>
      <w:r>
        <w:rPr>
          <w:rFonts w:hint="eastAsia"/>
          <w:color w:val="auto"/>
          <w:highlight w:val="none"/>
          <w:lang w:val="en-US" w:eastAsia="zh-CN"/>
        </w:rPr>
        <w:t>招标人所在地司法机构解决</w:t>
      </w:r>
      <w:r>
        <w:rPr>
          <w:rFonts w:hint="eastAsia"/>
          <w:color w:val="auto"/>
          <w:highlight w:val="none"/>
        </w:rPr>
        <w:t>。</w:t>
      </w:r>
    </w:p>
    <w:p w14:paraId="15DB9A59">
      <w:pPr>
        <w:spacing w:line="360" w:lineRule="auto"/>
        <w:ind w:firstLine="210" w:firstLineChars="100"/>
        <w:rPr>
          <w:rFonts w:hint="eastAsia" w:asciiTheme="minorEastAsia" w:hAnsiTheme="minorEastAsia" w:eastAsiaTheme="minorEastAsia" w:cstheme="minorEastAsia"/>
          <w:color w:val="auto"/>
          <w:sz w:val="21"/>
          <w:szCs w:val="21"/>
          <w:highlight w:val="none"/>
          <w:lang w:eastAsia="zh-CN"/>
        </w:rPr>
      </w:pPr>
      <w:r>
        <w:rPr>
          <w:rFonts w:hint="eastAsia" w:ascii="宋体" w:hAnsi="宋体" w:eastAsia="宋体" w:cs="宋体"/>
          <w:color w:val="auto"/>
          <w:szCs w:val="21"/>
          <w:highlight w:val="none"/>
        </w:rPr>
        <w:t xml:space="preserve">  </w:t>
      </w:r>
      <w:r>
        <w:rPr>
          <w:rFonts w:hint="eastAsia" w:asciiTheme="minorEastAsia" w:hAnsiTheme="minorEastAsia" w:eastAsiaTheme="minorEastAsia" w:cstheme="minorEastAsia"/>
          <w:color w:val="auto"/>
          <w:sz w:val="21"/>
          <w:szCs w:val="21"/>
          <w:highlight w:val="none"/>
        </w:rPr>
        <w:t xml:space="preserve"> 5．若乙方未如期按照合同约定的任何／或全部款项内容之要求提供服务及／或乙方未能履行合同规定的任何其它义务时，甲方有权直接向乙方发出违约通知书，</w:t>
      </w:r>
      <w:r>
        <w:rPr>
          <w:rFonts w:hint="eastAsia" w:asciiTheme="minorEastAsia" w:hAnsiTheme="minorEastAsia" w:eastAsiaTheme="minorEastAsia" w:cstheme="minorEastAsia"/>
          <w:color w:val="auto"/>
          <w:sz w:val="21"/>
          <w:szCs w:val="21"/>
          <w:highlight w:val="none"/>
          <w:lang w:eastAsia="zh-CN"/>
        </w:rPr>
        <w:t>同时</w:t>
      </w:r>
      <w:r>
        <w:rPr>
          <w:rFonts w:hint="eastAsia" w:asciiTheme="minorEastAsia" w:hAnsiTheme="minorEastAsia" w:eastAsiaTheme="minorEastAsia" w:cstheme="minorEastAsia"/>
          <w:color w:val="auto"/>
          <w:sz w:val="21"/>
          <w:szCs w:val="21"/>
          <w:highlight w:val="none"/>
        </w:rPr>
        <w:t>乙方</w:t>
      </w:r>
      <w:r>
        <w:rPr>
          <w:rFonts w:hint="eastAsia" w:asciiTheme="minorEastAsia" w:hAnsiTheme="minorEastAsia" w:eastAsiaTheme="minorEastAsia" w:cstheme="minorEastAsia"/>
          <w:color w:val="auto"/>
          <w:sz w:val="21"/>
          <w:szCs w:val="21"/>
          <w:highlight w:val="none"/>
          <w:lang w:eastAsia="zh-CN"/>
        </w:rPr>
        <w:t>还</w:t>
      </w:r>
      <w:r>
        <w:rPr>
          <w:rFonts w:hint="eastAsia" w:asciiTheme="minorEastAsia" w:hAnsiTheme="minorEastAsia" w:eastAsiaTheme="minorEastAsia" w:cstheme="minorEastAsia"/>
          <w:color w:val="auto"/>
          <w:sz w:val="21"/>
          <w:szCs w:val="21"/>
          <w:highlight w:val="none"/>
        </w:rPr>
        <w:t>应承担由此发生的相关费用并承担由此给甲方造成的直接损失及甲方因此产生的对第三方的责任</w:t>
      </w:r>
      <w:r>
        <w:rPr>
          <w:rFonts w:hint="eastAsia" w:asciiTheme="minorEastAsia" w:hAnsiTheme="minorEastAsia" w:eastAsiaTheme="minorEastAsia" w:cstheme="minorEastAsia"/>
          <w:color w:val="auto"/>
          <w:sz w:val="21"/>
          <w:szCs w:val="21"/>
          <w:highlight w:val="none"/>
          <w:lang w:eastAsia="zh-CN"/>
        </w:rPr>
        <w:t>。</w:t>
      </w:r>
    </w:p>
    <w:p w14:paraId="4816F4DA">
      <w:pPr>
        <w:spacing w:line="360" w:lineRule="auto"/>
        <w:ind w:firstLine="210" w:firstLineChars="100"/>
        <w:rPr>
          <w:rFonts w:hint="eastAsia" w:ascii="宋体" w:hAnsi="宋体" w:eastAsia="宋体" w:cs="宋体"/>
          <w:color w:val="auto"/>
          <w:szCs w:val="21"/>
          <w:highlight w:val="none"/>
        </w:rPr>
      </w:pPr>
      <w:r>
        <w:rPr>
          <w:rFonts w:hint="eastAsia" w:asciiTheme="minorEastAsia" w:hAnsiTheme="minorEastAsia" w:eastAsiaTheme="minorEastAsia" w:cstheme="minorEastAsia"/>
          <w:color w:val="auto"/>
          <w:sz w:val="21"/>
          <w:szCs w:val="21"/>
          <w:highlight w:val="none"/>
        </w:rPr>
        <w:t>6．如果乙方在收到甲方的违约通知书后十日内未作答复，甲方有权解除合同，乙方应按照合同总金额的20%向甲方承担违约责任，并赔偿给甲方造成的一切损失。</w:t>
      </w:r>
    </w:p>
    <w:p w14:paraId="1151DA79">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及／或赔偿责任。</w:t>
      </w:r>
    </w:p>
    <w:p w14:paraId="7BB4A9F9">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8．如果乙方延期提供服务（包括阶段性时间），延误罚款为合同金额0.5%元/天。累计罚款超过合同金额10%或延期服务超过</w:t>
      </w:r>
      <w:r>
        <w:rPr>
          <w:rFonts w:hint="eastAsia" w:ascii="宋体" w:hAnsi="宋体" w:eastAsia="宋体" w:cs="宋体"/>
          <w:color w:val="auto"/>
          <w:szCs w:val="21"/>
          <w:highlight w:val="none"/>
          <w:lang w:val="en-US" w:eastAsia="zh-CN"/>
        </w:rPr>
        <w:t>20天</w:t>
      </w:r>
      <w:r>
        <w:rPr>
          <w:rFonts w:hint="eastAsia" w:ascii="宋体" w:hAnsi="宋体" w:eastAsia="宋体" w:cs="宋体"/>
          <w:color w:val="auto"/>
          <w:szCs w:val="21"/>
          <w:highlight w:val="none"/>
        </w:rPr>
        <w:t>，甲方有权终止合同，并有权要求乙方承担甲方因此所受的全部损失。</w:t>
      </w:r>
    </w:p>
    <w:p w14:paraId="62451C16">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9．在本项目过程中，如果甲方要求，乙方应立即从现场撤出甲方认为不能恰当地履行其职责或有不当行为的人员，且应尽快替换以称职的人员。</w:t>
      </w:r>
    </w:p>
    <w:p w14:paraId="601D1521">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10.以上各项交付的违约金并不影响违约方履行合同的各项义务。   </w:t>
      </w:r>
    </w:p>
    <w:p w14:paraId="29F62BFC">
      <w:pPr>
        <w:spacing w:line="360" w:lineRule="auto"/>
        <w:ind w:firstLine="630" w:firstLineChars="300"/>
        <w:rPr>
          <w:rFonts w:ascii="宋体" w:hAnsi="宋体" w:eastAsia="宋体" w:cs="宋体"/>
          <w:color w:val="auto"/>
          <w:szCs w:val="21"/>
          <w:highlight w:val="none"/>
        </w:rPr>
      </w:pPr>
      <w:r>
        <w:rPr>
          <w:rFonts w:hint="eastAsia" w:ascii="宋体" w:hAnsi="宋体" w:eastAsia="宋体" w:cs="宋体"/>
          <w:color w:val="auto"/>
          <w:szCs w:val="21"/>
          <w:highlight w:val="none"/>
        </w:rPr>
        <w:t>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14:paraId="2EAAAD91">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不可抗力事件处理</w:t>
      </w:r>
    </w:p>
    <w:p w14:paraId="13C3CAA6">
      <w:pPr>
        <w:spacing w:line="360" w:lineRule="auto"/>
        <w:ind w:firstLine="210" w:firstLineChars="100"/>
        <w:rPr>
          <w:rFonts w:ascii="宋体" w:hAnsi="宋体" w:eastAsia="宋体" w:cs="宋体"/>
          <w:color w:val="auto"/>
          <w:szCs w:val="21"/>
          <w:highlight w:val="none"/>
        </w:rPr>
      </w:pPr>
      <w:bookmarkStart w:id="0" w:name="_Toc237145411"/>
      <w:bookmarkStart w:id="1" w:name="_Toc251768867"/>
      <w:bookmarkStart w:id="2" w:name="_Toc225670756"/>
      <w:bookmarkStart w:id="3" w:name="_Toc239233919"/>
      <w:bookmarkStart w:id="4" w:name="_Toc225654649"/>
      <w:bookmarkStart w:id="5" w:name="_Toc247334846"/>
      <w:bookmarkStart w:id="6" w:name="_Toc238984980"/>
      <w:bookmarkStart w:id="7" w:name="_Toc211911353"/>
      <w:bookmarkStart w:id="8" w:name="_Toc239568423"/>
      <w:bookmarkStart w:id="9" w:name="_Toc286993792"/>
      <w:bookmarkStart w:id="10" w:name="_Toc211854454"/>
      <w:bookmarkStart w:id="11" w:name="_Toc212019599"/>
      <w:bookmarkStart w:id="12" w:name="_Toc185395254"/>
      <w:bookmarkStart w:id="13" w:name="_Toc225244857"/>
      <w:bookmarkStart w:id="14" w:name="_Toc232492933"/>
      <w:bookmarkStart w:id="15" w:name="_Toc241833908"/>
      <w:r>
        <w:rPr>
          <w:rFonts w:hint="eastAsia" w:ascii="宋体" w:hAnsi="宋体" w:eastAsia="宋体" w:cs="宋体"/>
          <w:color w:val="auto"/>
          <w:szCs w:val="21"/>
          <w:highlight w:val="none"/>
        </w:rPr>
        <w:t xml:space="preserve">    1．不可抗力指下列事件：战争、动乱、瘟疫、严重火灾、洪水、地震、风暴或其他自然灾害，以及本合同各方不可预见、不可防止并不能避免或克服的一切其他因素及事件。</w:t>
      </w:r>
    </w:p>
    <w:p w14:paraId="129E48FA">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2．任何一方因不可抗力不能履行本合同规定的全部或部分义务，该方应尽快通知另一方，并须在不可抗力发生后三日内以书面形式向另一方提供详细情况报告及不可抗力对履行本合同的影响程度的说明。就上述不可抗力的发生须由受到不可抗力影响的一方负责同时提供证明。</w:t>
      </w:r>
    </w:p>
    <w:p w14:paraId="3942D40E">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3．发生不可抗力事件，任何一方均不对因不可抗力无法履行或迟延履行本合同义务而使另一方蒙受的任何损失承担责任。但遭受不可抗力影响的一方有责任尽可能及时采取适当或必要措施减少或消除不可抗力的影响。遭受不可抗力影响的一方对因未尽本项责任而造成的相关损失承担责任。</w:t>
      </w:r>
    </w:p>
    <w:p w14:paraId="4BCEF2CD">
      <w:pPr>
        <w:spacing w:line="360" w:lineRule="auto"/>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4.合同各方应根据不可抗力对本合同履行的影响程度，协商确定是否终止本合同，或是继续履行本合同。</w:t>
      </w:r>
    </w:p>
    <w:p w14:paraId="5B286A07">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合同的变更和终止</w:t>
      </w:r>
    </w:p>
    <w:p w14:paraId="2B45D219">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14:paraId="0A0D9B20">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解决合同纠纷的</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rFonts w:hint="eastAsia" w:ascii="宋体" w:hAnsi="宋体" w:eastAsia="宋体" w:cs="宋体"/>
          <w:b/>
          <w:color w:val="auto"/>
          <w:szCs w:val="21"/>
          <w:highlight w:val="none"/>
        </w:rPr>
        <w:t>方式</w:t>
      </w:r>
    </w:p>
    <w:p w14:paraId="0170AD68">
      <w:pPr>
        <w:pStyle w:val="9"/>
        <w:spacing w:line="360" w:lineRule="auto"/>
        <w:ind w:firstLine="420"/>
        <w:rPr>
          <w:rFonts w:ascii="宋体" w:hAnsi="宋体" w:eastAsia="宋体"/>
          <w:color w:val="auto"/>
          <w:kern w:val="0"/>
          <w:sz w:val="21"/>
          <w:szCs w:val="21"/>
          <w:highlight w:val="none"/>
        </w:rPr>
      </w:pPr>
      <w:r>
        <w:rPr>
          <w:rFonts w:hint="eastAsia" w:ascii="宋体" w:hAnsi="宋体" w:eastAsia="宋体"/>
          <w:color w:val="auto"/>
          <w:sz w:val="21"/>
          <w:szCs w:val="21"/>
          <w:highlight w:val="none"/>
        </w:rPr>
        <w:t>在执行本合同中发生的或与本合同有关的争端，双方应通过友好协商解决，经协商在XX天内不能达成协议时，</w:t>
      </w:r>
      <w:r>
        <w:rPr>
          <w:rFonts w:hint="eastAsia" w:ascii="宋体" w:hAnsi="宋体" w:eastAsia="宋体"/>
          <w:color w:val="auto"/>
          <w:kern w:val="0"/>
          <w:sz w:val="21"/>
          <w:szCs w:val="21"/>
          <w:highlight w:val="none"/>
        </w:rPr>
        <w:t>则采取向甲方所在地人民法院提起诉讼解决争议。</w:t>
      </w:r>
    </w:p>
    <w:p w14:paraId="1A7CDBED">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bookmarkStart w:id="16" w:name="_Toc225670757"/>
      <w:bookmarkStart w:id="17" w:name="_Toc286993793"/>
      <w:bookmarkStart w:id="18" w:name="_Toc225654650"/>
      <w:bookmarkStart w:id="19" w:name="_Toc211911354"/>
      <w:bookmarkStart w:id="20" w:name="_Toc283019219"/>
      <w:bookmarkStart w:id="21" w:name="_Toc232492934"/>
      <w:bookmarkStart w:id="22" w:name="_Toc282696231"/>
      <w:bookmarkStart w:id="23" w:name="_Toc238984981"/>
      <w:bookmarkStart w:id="24" w:name="_Toc211854455"/>
      <w:bookmarkStart w:id="25" w:name="_Toc247334847"/>
      <w:bookmarkStart w:id="26" w:name="_Toc251768868"/>
      <w:bookmarkStart w:id="27" w:name="_Toc212019600"/>
      <w:bookmarkStart w:id="28" w:name="_Toc237145412"/>
      <w:bookmarkStart w:id="29" w:name="_Toc185395255"/>
      <w:bookmarkStart w:id="30" w:name="_Toc239568424"/>
      <w:bookmarkStart w:id="31" w:name="_Toc241833909"/>
      <w:bookmarkStart w:id="32" w:name="_Toc239233920"/>
      <w:bookmarkStart w:id="33" w:name="_Toc225244858"/>
      <w:r>
        <w:rPr>
          <w:rFonts w:hint="eastAsia" w:ascii="宋体" w:hAnsi="宋体" w:eastAsia="宋体" w:cs="宋体"/>
          <w:b/>
          <w:color w:val="auto"/>
          <w:szCs w:val="21"/>
          <w:highlight w:val="none"/>
        </w:rPr>
        <w:t xml:space="preserve">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eastAsia="宋体" w:cs="宋体"/>
          <w:b/>
          <w:color w:val="auto"/>
          <w:szCs w:val="21"/>
          <w:highlight w:val="none"/>
        </w:rPr>
        <w:t>生效及其他</w:t>
      </w:r>
    </w:p>
    <w:p w14:paraId="583D3459">
      <w:pPr>
        <w:pStyle w:val="10"/>
        <w:spacing w:line="360" w:lineRule="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1.合同经双方法定代表人或授权委托代理人签字并加盖单位公章后生效。</w:t>
      </w:r>
    </w:p>
    <w:p w14:paraId="7D7E01FA">
      <w:pPr>
        <w:pStyle w:val="10"/>
        <w:spacing w:line="360" w:lineRule="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2.本合同一式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份。甲方</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份，乙方</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份。未尽事宜，双方协商解决。</w:t>
      </w:r>
    </w:p>
    <w:p w14:paraId="5B0CBD2E">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附件</w:t>
      </w:r>
    </w:p>
    <w:p w14:paraId="256F6FC3">
      <w:pPr>
        <w:pStyle w:val="11"/>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1.项目招标文件</w:t>
      </w:r>
    </w:p>
    <w:p w14:paraId="4766A6F5">
      <w:pPr>
        <w:pStyle w:val="11"/>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2.项目修改澄清文件</w:t>
      </w:r>
    </w:p>
    <w:p w14:paraId="55FA2CC5">
      <w:pPr>
        <w:pStyle w:val="11"/>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3.项目投标文件</w:t>
      </w:r>
    </w:p>
    <w:p w14:paraId="6E13E94A">
      <w:pPr>
        <w:pStyle w:val="11"/>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4.中标通知书</w:t>
      </w:r>
    </w:p>
    <w:p w14:paraId="61B06984">
      <w:pPr>
        <w:pStyle w:val="11"/>
        <w:spacing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5.其他</w:t>
      </w:r>
    </w:p>
    <w:p w14:paraId="506D5C18">
      <w:pPr>
        <w:spacing w:line="440" w:lineRule="exact"/>
        <w:jc w:val="center"/>
        <w:rPr>
          <w:rFonts w:ascii="宋体" w:hAnsi="宋体" w:eastAsia="宋体" w:cs="仿宋"/>
          <w:color w:val="auto"/>
          <w:szCs w:val="21"/>
          <w:highlight w:val="none"/>
        </w:rPr>
      </w:pPr>
    </w:p>
    <w:p w14:paraId="401D3F21">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甲方：陕西省公路局</w:t>
      </w:r>
    </w:p>
    <w:p w14:paraId="4446BA25">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法定代表人</w:t>
      </w:r>
    </w:p>
    <w:p w14:paraId="231895C0">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或其委托代理人：</w:t>
      </w:r>
    </w:p>
    <w:p w14:paraId="6B27B9D4">
      <w:pPr>
        <w:spacing w:line="440" w:lineRule="exact"/>
        <w:ind w:firstLine="420" w:firstLineChars="200"/>
        <w:rPr>
          <w:rFonts w:ascii="宋体" w:hAnsi="宋体" w:eastAsia="宋体" w:cs="仿宋"/>
          <w:color w:val="auto"/>
          <w:szCs w:val="21"/>
          <w:highlight w:val="none"/>
        </w:rPr>
      </w:pPr>
    </w:p>
    <w:p w14:paraId="1CD447A0">
      <w:pPr>
        <w:spacing w:line="440" w:lineRule="exact"/>
        <w:ind w:firstLine="420" w:firstLineChars="200"/>
        <w:jc w:val="right"/>
        <w:rPr>
          <w:rFonts w:ascii="宋体" w:hAnsi="宋体" w:eastAsia="宋体" w:cs="仿宋"/>
          <w:color w:val="auto"/>
          <w:szCs w:val="21"/>
          <w:highlight w:val="none"/>
        </w:rPr>
      </w:pPr>
      <w:r>
        <w:rPr>
          <w:rFonts w:hint="eastAsia" w:ascii="宋体" w:hAnsi="宋体" w:eastAsia="宋体" w:cs="仿宋"/>
          <w:color w:val="auto"/>
          <w:szCs w:val="21"/>
          <w:highlight w:val="none"/>
        </w:rPr>
        <w:t>年   月   日</w:t>
      </w:r>
    </w:p>
    <w:p w14:paraId="30471CD5">
      <w:pPr>
        <w:spacing w:line="440" w:lineRule="exact"/>
        <w:ind w:firstLine="420" w:firstLineChars="200"/>
        <w:rPr>
          <w:rFonts w:ascii="宋体" w:hAnsi="宋体" w:eastAsia="宋体" w:cs="仿宋"/>
          <w:color w:val="auto"/>
          <w:szCs w:val="21"/>
          <w:highlight w:val="none"/>
        </w:rPr>
      </w:pPr>
    </w:p>
    <w:p w14:paraId="7283FF32">
      <w:pPr>
        <w:spacing w:line="440" w:lineRule="exact"/>
        <w:ind w:firstLine="420" w:firstLineChars="200"/>
        <w:rPr>
          <w:rFonts w:ascii="宋体" w:hAnsi="宋体" w:eastAsia="宋体" w:cs="仿宋"/>
          <w:color w:val="auto"/>
          <w:szCs w:val="21"/>
          <w:highlight w:val="none"/>
        </w:rPr>
      </w:pPr>
    </w:p>
    <w:p w14:paraId="772E62A5">
      <w:pPr>
        <w:spacing w:line="440" w:lineRule="exact"/>
        <w:ind w:firstLine="420" w:firstLineChars="200"/>
        <w:rPr>
          <w:rFonts w:ascii="宋体" w:hAnsi="宋体" w:eastAsia="宋体" w:cs="仿宋"/>
          <w:color w:val="auto"/>
          <w:szCs w:val="21"/>
          <w:highlight w:val="none"/>
        </w:rPr>
      </w:pPr>
    </w:p>
    <w:p w14:paraId="65F4767F">
      <w:pPr>
        <w:spacing w:line="440" w:lineRule="exact"/>
        <w:ind w:firstLine="420" w:firstLineChars="200"/>
        <w:rPr>
          <w:rFonts w:ascii="宋体" w:hAnsi="宋体" w:eastAsia="宋体" w:cs="仿宋"/>
          <w:color w:val="auto"/>
          <w:szCs w:val="21"/>
          <w:highlight w:val="none"/>
        </w:rPr>
      </w:pPr>
    </w:p>
    <w:p w14:paraId="7746B09A">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乙方：</w:t>
      </w:r>
    </w:p>
    <w:p w14:paraId="2A289736">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法定代表人</w:t>
      </w:r>
    </w:p>
    <w:p w14:paraId="6815F61D">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或其委托代理人：</w:t>
      </w:r>
    </w:p>
    <w:p w14:paraId="2C75C627">
      <w:pPr>
        <w:spacing w:line="440" w:lineRule="exact"/>
        <w:ind w:firstLine="420" w:firstLineChars="200"/>
        <w:jc w:val="right"/>
        <w:rPr>
          <w:rFonts w:ascii="宋体" w:hAnsi="宋体" w:eastAsia="宋体" w:cs="仿宋"/>
          <w:color w:val="auto"/>
          <w:szCs w:val="21"/>
          <w:highlight w:val="none"/>
        </w:rPr>
      </w:pPr>
      <w:r>
        <w:rPr>
          <w:rFonts w:hint="eastAsia" w:ascii="宋体" w:hAnsi="宋体" w:eastAsia="宋体" w:cs="仿宋"/>
          <w:color w:val="auto"/>
          <w:szCs w:val="21"/>
          <w:highlight w:val="none"/>
        </w:rPr>
        <w:t>年   月   日</w:t>
      </w:r>
    </w:p>
    <w:p w14:paraId="591F7E31">
      <w:pPr>
        <w:spacing w:line="500" w:lineRule="exact"/>
        <w:jc w:val="center"/>
        <w:rPr>
          <w:rFonts w:ascii="宋体" w:hAnsi="宋体" w:eastAsia="宋体" w:cs="仿宋"/>
          <w:color w:val="auto"/>
          <w:sz w:val="24"/>
          <w:highlight w:val="none"/>
        </w:rPr>
      </w:pPr>
      <w:r>
        <w:rPr>
          <w:rFonts w:hint="eastAsia" w:ascii="宋体" w:hAnsi="宋体" w:eastAsia="宋体" w:cs="仿宋"/>
          <w:color w:val="auto"/>
          <w:szCs w:val="21"/>
          <w:highlight w:val="none"/>
        </w:rPr>
        <w:br w:type="page"/>
      </w:r>
      <w:r>
        <w:rPr>
          <w:rFonts w:hint="eastAsia" w:ascii="宋体" w:hAnsi="宋体" w:eastAsia="宋体" w:cs="仿宋"/>
          <w:b/>
          <w:bCs/>
          <w:color w:val="auto"/>
          <w:sz w:val="24"/>
          <w:highlight w:val="none"/>
        </w:rPr>
        <w:t>廉政合同（格式）</w:t>
      </w:r>
    </w:p>
    <w:p w14:paraId="6E0BAA98">
      <w:pPr>
        <w:spacing w:line="440" w:lineRule="exact"/>
        <w:ind w:firstLine="420" w:firstLineChars="200"/>
        <w:rPr>
          <w:rFonts w:ascii="宋体" w:hAnsi="宋体" w:eastAsia="宋体" w:cs="仿宋"/>
          <w:color w:val="auto"/>
          <w:sz w:val="24"/>
          <w:highlight w:val="none"/>
        </w:rPr>
      </w:pPr>
      <w:r>
        <w:rPr>
          <w:rFonts w:hint="eastAsia" w:ascii="宋体" w:hAnsi="宋体" w:cs="仿宋"/>
          <w:color w:val="auto"/>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以下简称“甲方”)和中标单位（</w:t>
      </w:r>
      <w:r>
        <w:rPr>
          <w:rFonts w:hint="eastAsia" w:ascii="宋体" w:hAnsi="宋体" w:cs="仿宋"/>
          <w:color w:val="auto"/>
          <w:szCs w:val="21"/>
          <w:highlight w:val="none"/>
          <w:u w:val="single"/>
        </w:rPr>
        <w:t>中标单位名称）(</w:t>
      </w:r>
      <w:r>
        <w:rPr>
          <w:rFonts w:hint="eastAsia" w:ascii="宋体" w:hAnsi="宋体" w:cs="仿宋"/>
          <w:color w:val="auto"/>
          <w:szCs w:val="21"/>
          <w:highlight w:val="none"/>
        </w:rPr>
        <w:t>以下简称“乙方”)，特订立如下合同。</w:t>
      </w:r>
    </w:p>
    <w:p w14:paraId="2A49C714">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第一条 双方的权利和义务</w:t>
      </w:r>
    </w:p>
    <w:p w14:paraId="63A9BA26">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(一)严格遵守党的政策规定和国家有关法律法规及交通运输部的有关规定。</w:t>
      </w:r>
    </w:p>
    <w:p w14:paraId="1201BB34">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(二)严格执行</w:t>
      </w:r>
      <w:r>
        <w:rPr>
          <w:rFonts w:hint="eastAsia" w:ascii="宋体" w:hAnsi="宋体" w:cs="仿宋"/>
          <w:color w:val="auto"/>
          <w:szCs w:val="21"/>
          <w:highlight w:val="none"/>
          <w:u w:val="single"/>
        </w:rPr>
        <w:t>（项目名称）</w:t>
      </w:r>
      <w:r>
        <w:rPr>
          <w:rFonts w:hint="eastAsia" w:ascii="宋体" w:hAnsi="宋体" w:cs="仿宋"/>
          <w:color w:val="auto"/>
          <w:szCs w:val="21"/>
          <w:highlight w:val="none"/>
        </w:rPr>
        <w:t>标段合同文件，自觉按合同办事。</w:t>
      </w:r>
    </w:p>
    <w:p w14:paraId="4D732F94">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(三)双方的业务活动坚持公开、公正、诚信、透明的原则(法律认定的商业秘密和合同文件另有规定除外)，不得损害国家和集体利益，不得违反工程建设管理规章制度。</w:t>
      </w:r>
    </w:p>
    <w:p w14:paraId="6E62C4D2">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(四)建立健全廉政制度，开展廉政教育，设立廉政告示牌，公布举报电话，监督并认真查处违法违纪行为。</w:t>
      </w:r>
    </w:p>
    <w:p w14:paraId="04A5FF41">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(五)发现对方在业务活动中有违反廉政规定的行为，有及时提醒对方纠正的权利和义务。</w:t>
      </w:r>
    </w:p>
    <w:p w14:paraId="7D0D4E93">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(六)发现各方严重违反本合同义务条款的行为，有向其上级有关部门举报、建议给予处理并要求告知处理结果的权利。</w:t>
      </w:r>
    </w:p>
    <w:p w14:paraId="433CDA71">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第二条 甲方的义务</w:t>
      </w:r>
    </w:p>
    <w:p w14:paraId="32C9CC70">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(一)甲方及其工作人员不得索要或接受乙方的礼金、有价证券和贵重物品，不得在乙方报销任何应由甲方或甲方工作人员个人支付的费用等。</w:t>
      </w:r>
    </w:p>
    <w:p w14:paraId="737926C1">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(二)甲方工作人员不得参加乙方安排的超标准宴请和娱乐活动；不得接受乙方提供的通讯工具、交通工具和高档办公用品等。</w:t>
      </w:r>
    </w:p>
    <w:p w14:paraId="557EACD5">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(三)甲方及其工作人员不得要求或者接受乙方为其住房装修、婚丧嫁娶活动、配偶子女及其亲属的工作安排以及出国出境、旅游等提供方便等。</w:t>
      </w:r>
    </w:p>
    <w:p w14:paraId="1224E26E">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(四)不准向乙方和相关单位介绍或为配偶、子女、亲属参与同本项目合同有关的业务等活动。</w:t>
      </w:r>
    </w:p>
    <w:p w14:paraId="6D79FB70">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第三条 乙方的义务</w:t>
      </w:r>
    </w:p>
    <w:p w14:paraId="6014A77F">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(一)乙方不得以任何理由向甲方及其工作人员行贿或馈赠礼金、有价证券、贵重礼品。</w:t>
      </w:r>
    </w:p>
    <w:p w14:paraId="327739EA">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(二)乙方不得以任何名义为甲方及其工作人员报销应由甲方单位或个人支付的任何费用。</w:t>
      </w:r>
    </w:p>
    <w:p w14:paraId="60A6CFCD">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(三)乙方不得以任何理由安排甲方工作人员参加超标准宴请及娱乐活动。</w:t>
      </w:r>
    </w:p>
    <w:p w14:paraId="19848AC9">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(四)乙方不得为甲方单位和个人购置或提供通讯工具、交通工具和高档办公用品等。</w:t>
      </w:r>
    </w:p>
    <w:p w14:paraId="1491B190">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第四条 违约责任</w:t>
      </w:r>
    </w:p>
    <w:p w14:paraId="0368C8B4">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(一)甲方及其工作人员违反本合同第一、二条，按管理权限，依据有关规定给予党纪、政纪或组织处理；涉嫌犯罪的，移交司法机关追究刑事责任；给乙方单位造成经济损失的，应予以赔偿。</w:t>
      </w:r>
    </w:p>
    <w:p w14:paraId="2F816F60">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572C1B63">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第五条 双方约定：本合同由双方或双方上级单位的纪检监察部门负责监督执行。</w:t>
      </w:r>
    </w:p>
    <w:p w14:paraId="6AB42AD0">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第六条 本合同有效期为甲乙双方签署之日起至本次政府采购主合同失效日止。</w:t>
      </w:r>
    </w:p>
    <w:p w14:paraId="6695AF64">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第七条 本合同作为</w:t>
      </w:r>
      <w:r>
        <w:rPr>
          <w:rFonts w:hint="eastAsia" w:ascii="宋体" w:hAnsi="宋体" w:cs="仿宋"/>
          <w:color w:val="auto"/>
          <w:szCs w:val="21"/>
          <w:highlight w:val="none"/>
          <w:u w:val="single"/>
        </w:rPr>
        <w:t>（项目名称）</w:t>
      </w:r>
      <w:r>
        <w:rPr>
          <w:rFonts w:hint="eastAsia" w:ascii="宋体" w:hAnsi="宋体" w:cs="仿宋"/>
          <w:color w:val="auto"/>
          <w:szCs w:val="21"/>
          <w:highlight w:val="none"/>
        </w:rPr>
        <w:t>标段方案设计合同的附件，与服务合同具有同等的法律效力，经合同双方签署后立即生效。</w:t>
      </w:r>
    </w:p>
    <w:p w14:paraId="73F420AD">
      <w:pPr>
        <w:spacing w:line="440" w:lineRule="exact"/>
        <w:ind w:firstLine="420" w:firstLineChars="200"/>
        <w:jc w:val="left"/>
        <w:rPr>
          <w:rFonts w:ascii="宋体" w:hAnsi="宋体" w:cs="仿宋"/>
          <w:color w:val="auto"/>
          <w:szCs w:val="21"/>
          <w:highlight w:val="none"/>
        </w:rPr>
      </w:pPr>
      <w:r>
        <w:rPr>
          <w:rFonts w:hint="eastAsia" w:ascii="宋体" w:hAnsi="宋体" w:cs="仿宋"/>
          <w:color w:val="auto"/>
          <w:szCs w:val="21"/>
          <w:highlight w:val="none"/>
        </w:rPr>
        <w:t>第八条 本合同一式</w:t>
      </w:r>
      <w:r>
        <w:rPr>
          <w:rFonts w:hint="eastAsia" w:ascii="宋体" w:hAnsi="宋体" w:cs="仿宋"/>
          <w:color w:val="auto"/>
          <w:szCs w:val="21"/>
          <w:highlight w:val="none"/>
          <w:u w:val="single"/>
        </w:rPr>
        <w:t xml:space="preserve"> 八 </w:t>
      </w:r>
      <w:r>
        <w:rPr>
          <w:rFonts w:hint="eastAsia" w:ascii="宋体" w:hAnsi="宋体" w:cs="仿宋"/>
          <w:color w:val="auto"/>
          <w:szCs w:val="21"/>
          <w:highlight w:val="none"/>
        </w:rPr>
        <w:t>份，具有同等法律效力，双方各执四份，双方签字盖章后生效。</w:t>
      </w:r>
    </w:p>
    <w:p w14:paraId="7253A751">
      <w:pPr>
        <w:pStyle w:val="12"/>
        <w:rPr>
          <w:rFonts w:hAnsi="宋体" w:cs="仿宋"/>
          <w:color w:val="auto"/>
          <w:szCs w:val="21"/>
          <w:highlight w:val="none"/>
        </w:rPr>
      </w:pPr>
    </w:p>
    <w:p w14:paraId="0D12D576">
      <w:pPr>
        <w:pStyle w:val="12"/>
        <w:rPr>
          <w:rFonts w:hAnsi="宋体" w:cs="仿宋"/>
          <w:color w:val="auto"/>
          <w:szCs w:val="21"/>
          <w:highlight w:val="none"/>
        </w:rPr>
      </w:pPr>
    </w:p>
    <w:p w14:paraId="1E24A3C4">
      <w:pPr>
        <w:pStyle w:val="12"/>
        <w:rPr>
          <w:rFonts w:hAnsi="宋体" w:cs="仿宋"/>
          <w:color w:val="auto"/>
          <w:szCs w:val="21"/>
          <w:highlight w:val="none"/>
        </w:rPr>
      </w:pPr>
    </w:p>
    <w:p w14:paraId="20D60859">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甲方：陕西省公路局</w:t>
      </w:r>
    </w:p>
    <w:p w14:paraId="0B8D264E">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法定代表人</w:t>
      </w:r>
    </w:p>
    <w:p w14:paraId="0CBCA6FC">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或其委托代理人：</w:t>
      </w:r>
    </w:p>
    <w:p w14:paraId="0BCE810B">
      <w:pPr>
        <w:spacing w:line="440" w:lineRule="exact"/>
        <w:ind w:right="420" w:firstLine="6405" w:firstLineChars="3050"/>
        <w:rPr>
          <w:rFonts w:ascii="宋体" w:hAnsi="宋体" w:eastAsia="宋体" w:cs="仿宋"/>
          <w:color w:val="auto"/>
          <w:szCs w:val="21"/>
          <w:highlight w:val="none"/>
        </w:rPr>
      </w:pPr>
      <w:r>
        <w:rPr>
          <w:rFonts w:hint="eastAsia" w:ascii="宋体" w:hAnsi="宋体" w:eastAsia="宋体" w:cs="仿宋"/>
          <w:color w:val="auto"/>
          <w:szCs w:val="21"/>
          <w:highlight w:val="none"/>
        </w:rPr>
        <w:t>年   月   日</w:t>
      </w:r>
    </w:p>
    <w:p w14:paraId="088784ED">
      <w:pPr>
        <w:spacing w:line="440" w:lineRule="exact"/>
        <w:ind w:firstLine="420" w:firstLineChars="200"/>
        <w:rPr>
          <w:rFonts w:ascii="宋体" w:hAnsi="宋体" w:eastAsia="宋体" w:cs="仿宋"/>
          <w:color w:val="auto"/>
          <w:szCs w:val="21"/>
          <w:highlight w:val="none"/>
        </w:rPr>
      </w:pPr>
    </w:p>
    <w:p w14:paraId="1990FC55">
      <w:pPr>
        <w:spacing w:line="440" w:lineRule="exact"/>
        <w:ind w:firstLine="420" w:firstLineChars="200"/>
        <w:rPr>
          <w:rFonts w:ascii="宋体" w:hAnsi="宋体" w:eastAsia="宋体" w:cs="仿宋"/>
          <w:color w:val="auto"/>
          <w:szCs w:val="21"/>
          <w:highlight w:val="none"/>
        </w:rPr>
      </w:pPr>
    </w:p>
    <w:p w14:paraId="37B1A76D">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乙方：</w:t>
      </w:r>
    </w:p>
    <w:p w14:paraId="2606D7BD">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法定代表人</w:t>
      </w:r>
    </w:p>
    <w:p w14:paraId="41BFCCEB">
      <w:pPr>
        <w:spacing w:line="440" w:lineRule="exact"/>
        <w:ind w:firstLine="420" w:firstLineChars="200"/>
        <w:rPr>
          <w:rFonts w:ascii="宋体" w:hAnsi="宋体" w:eastAsia="宋体" w:cs="仿宋"/>
          <w:color w:val="auto"/>
          <w:szCs w:val="21"/>
          <w:highlight w:val="none"/>
        </w:rPr>
      </w:pPr>
      <w:r>
        <w:rPr>
          <w:rFonts w:hint="eastAsia" w:ascii="宋体" w:hAnsi="宋体" w:eastAsia="宋体" w:cs="仿宋"/>
          <w:color w:val="auto"/>
          <w:szCs w:val="21"/>
          <w:highlight w:val="none"/>
        </w:rPr>
        <w:t>或其委托代理人：</w:t>
      </w:r>
    </w:p>
    <w:p w14:paraId="3104CFE8">
      <w:pPr>
        <w:spacing w:line="440" w:lineRule="exact"/>
        <w:ind w:firstLine="420" w:firstLineChars="200"/>
        <w:rPr>
          <w:rFonts w:ascii="宋体" w:hAnsi="宋体" w:eastAsia="宋体" w:cs="仿宋"/>
          <w:color w:val="auto"/>
          <w:szCs w:val="21"/>
          <w:highlight w:val="none"/>
        </w:rPr>
      </w:pPr>
    </w:p>
    <w:p w14:paraId="0F2AE65B">
      <w:pPr>
        <w:spacing w:line="440" w:lineRule="exact"/>
        <w:ind w:firstLine="6405" w:firstLineChars="3050"/>
        <w:rPr>
          <w:rFonts w:hint="eastAsia" w:ascii="宋体" w:hAnsi="宋体" w:eastAsia="宋体" w:cs="仿宋"/>
          <w:color w:val="auto"/>
          <w:szCs w:val="21"/>
          <w:highlight w:val="none"/>
        </w:rPr>
      </w:pPr>
      <w:r>
        <w:rPr>
          <w:rFonts w:hint="eastAsia" w:ascii="宋体" w:hAnsi="宋体" w:eastAsia="宋体" w:cs="仿宋"/>
          <w:color w:val="auto"/>
          <w:szCs w:val="21"/>
          <w:highlight w:val="none"/>
        </w:rPr>
        <w:t>年   月   日</w:t>
      </w:r>
    </w:p>
    <w:p w14:paraId="58B7FC4D">
      <w:pPr>
        <w:rPr>
          <w:rFonts w:hint="eastAsia" w:ascii="宋体" w:hAnsi="宋体" w:eastAsia="宋体" w:cs="仿宋"/>
          <w:color w:val="auto"/>
          <w:szCs w:val="21"/>
          <w:highlight w:val="none"/>
        </w:rPr>
      </w:pPr>
      <w:r>
        <w:rPr>
          <w:rFonts w:hint="eastAsia" w:ascii="宋体" w:hAnsi="宋体" w:eastAsia="宋体" w:cs="仿宋"/>
          <w:color w:val="auto"/>
          <w:szCs w:val="21"/>
          <w:highlight w:val="none"/>
        </w:rPr>
        <w:br w:type="page"/>
      </w:r>
    </w:p>
    <w:tbl>
      <w:tblPr>
        <w:tblStyle w:val="7"/>
        <w:tblpPr w:leftFromText="180" w:rightFromText="180" w:vertAnchor="text" w:horzAnchor="page" w:tblpXSpec="center" w:tblpY="589"/>
        <w:tblOverlap w:val="never"/>
        <w:tblW w:w="94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3"/>
        <w:gridCol w:w="1311"/>
        <w:gridCol w:w="4934"/>
        <w:gridCol w:w="636"/>
        <w:gridCol w:w="470"/>
        <w:gridCol w:w="581"/>
        <w:gridCol w:w="595"/>
        <w:gridCol w:w="530"/>
      </w:tblGrid>
      <w:tr w14:paraId="4FD51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5" w:hRule="atLeast"/>
          <w:jc w:val="center"/>
        </w:trPr>
        <w:tc>
          <w:tcPr>
            <w:tcW w:w="9440" w:type="dxa"/>
            <w:gridSpan w:val="8"/>
            <w:tcBorders>
              <w:top w:val="single" w:color="auto" w:sz="4" w:space="0"/>
              <w:left w:val="single" w:color="auto" w:sz="4" w:space="0"/>
              <w:bottom w:val="nil"/>
              <w:right w:val="single" w:color="auto" w:sz="4" w:space="0"/>
            </w:tcBorders>
            <w:shd w:val="clear" w:color="auto" w:fill="auto"/>
            <w:noWrap/>
            <w:vAlign w:val="center"/>
          </w:tcPr>
          <w:p w14:paraId="682D3958">
            <w:pPr>
              <w:keepNext w:val="0"/>
              <w:keepLines w:val="0"/>
              <w:widowControl/>
              <w:suppressLineNumbers w:val="0"/>
              <w:jc w:val="center"/>
              <w:textAlignment w:val="center"/>
              <w:rPr>
                <w:rFonts w:hint="default" w:ascii="宋体" w:hAnsi="宋体" w:eastAsia="宋体" w:cs="宋体"/>
                <w:b/>
                <w:bCs/>
                <w:i w:val="0"/>
                <w:iCs w:val="0"/>
                <w:color w:val="auto"/>
                <w:sz w:val="28"/>
                <w:szCs w:val="28"/>
                <w:highlight w:val="none"/>
                <w:u w:val="none"/>
                <w:lang w:val="en-US"/>
              </w:rPr>
            </w:pPr>
            <w:r>
              <w:rPr>
                <w:rFonts w:hint="eastAsia" w:ascii="宋体" w:hAnsi="宋体" w:eastAsia="宋体" w:cs="宋体"/>
                <w:b/>
                <w:bCs/>
                <w:i w:val="0"/>
                <w:iCs w:val="0"/>
                <w:color w:val="auto"/>
                <w:kern w:val="0"/>
                <w:sz w:val="28"/>
                <w:szCs w:val="28"/>
                <w:highlight w:val="none"/>
                <w:u w:val="none"/>
                <w:lang w:val="en-US" w:eastAsia="zh-CN" w:bidi="ar"/>
              </w:rPr>
              <w:t>考评办法</w:t>
            </w:r>
          </w:p>
        </w:tc>
      </w:tr>
      <w:tr w14:paraId="41F62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383"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5246BFE1">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序号</w:t>
            </w:r>
          </w:p>
        </w:tc>
        <w:tc>
          <w:tcPr>
            <w:tcW w:w="13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726D53">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事项</w:t>
            </w:r>
          </w:p>
        </w:tc>
        <w:tc>
          <w:tcPr>
            <w:tcW w:w="4934" w:type="dxa"/>
            <w:vMerge w:val="restart"/>
            <w:tcBorders>
              <w:top w:val="single" w:color="000000" w:sz="4" w:space="0"/>
              <w:left w:val="single" w:color="000000" w:sz="4" w:space="0"/>
              <w:bottom w:val="single" w:color="000000" w:sz="4" w:space="0"/>
              <w:right w:val="nil"/>
            </w:tcBorders>
            <w:shd w:val="clear" w:color="auto" w:fill="auto"/>
            <w:vAlign w:val="center"/>
          </w:tcPr>
          <w:p w14:paraId="199CC6A9">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内容</w:t>
            </w:r>
          </w:p>
        </w:tc>
        <w:tc>
          <w:tcPr>
            <w:tcW w:w="28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172F3D">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服务评价</w:t>
            </w:r>
          </w:p>
        </w:tc>
      </w:tr>
      <w:tr w14:paraId="57316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383"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588B9AF3">
            <w:pPr>
              <w:jc w:val="center"/>
              <w:rPr>
                <w:rFonts w:hint="eastAsia" w:ascii="宋体" w:hAnsi="宋体" w:eastAsia="宋体" w:cs="宋体"/>
                <w:b/>
                <w:bCs/>
                <w:i w:val="0"/>
                <w:iCs w:val="0"/>
                <w:color w:val="auto"/>
                <w:sz w:val="20"/>
                <w:szCs w:val="20"/>
                <w:highlight w:val="none"/>
                <w:u w:val="none"/>
              </w:rPr>
            </w:pPr>
          </w:p>
        </w:tc>
        <w:tc>
          <w:tcPr>
            <w:tcW w:w="13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FA7E4">
            <w:pPr>
              <w:jc w:val="center"/>
              <w:rPr>
                <w:rFonts w:hint="eastAsia" w:ascii="宋体" w:hAnsi="宋体" w:eastAsia="宋体" w:cs="宋体"/>
                <w:b/>
                <w:bCs/>
                <w:i w:val="0"/>
                <w:iCs w:val="0"/>
                <w:color w:val="auto"/>
                <w:sz w:val="20"/>
                <w:szCs w:val="20"/>
                <w:highlight w:val="none"/>
                <w:u w:val="none"/>
              </w:rPr>
            </w:pPr>
          </w:p>
        </w:tc>
        <w:tc>
          <w:tcPr>
            <w:tcW w:w="4934" w:type="dxa"/>
            <w:vMerge w:val="continue"/>
            <w:tcBorders>
              <w:top w:val="single" w:color="000000" w:sz="4" w:space="0"/>
              <w:left w:val="single" w:color="000000" w:sz="4" w:space="0"/>
              <w:bottom w:val="single" w:color="000000" w:sz="4" w:space="0"/>
              <w:right w:val="nil"/>
            </w:tcBorders>
            <w:shd w:val="clear" w:color="auto" w:fill="auto"/>
            <w:vAlign w:val="center"/>
          </w:tcPr>
          <w:p w14:paraId="373EA333">
            <w:pPr>
              <w:jc w:val="center"/>
              <w:rPr>
                <w:rFonts w:hint="eastAsia" w:ascii="宋体" w:hAnsi="宋体" w:eastAsia="宋体" w:cs="宋体"/>
                <w:b/>
                <w:bCs/>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ECEE">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出色</w:t>
            </w: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D6BFF">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好</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FF06A">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较好</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381E4">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一般</w:t>
            </w: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42DBB">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差</w:t>
            </w:r>
          </w:p>
        </w:tc>
      </w:tr>
      <w:tr w14:paraId="7AB0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jc w:val="center"/>
        </w:trPr>
        <w:tc>
          <w:tcPr>
            <w:tcW w:w="383"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26ED66">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1</w:t>
            </w:r>
          </w:p>
        </w:tc>
        <w:tc>
          <w:tcPr>
            <w:tcW w:w="1311" w:type="dxa"/>
            <w:tcBorders>
              <w:top w:val="single" w:color="000000" w:sz="4" w:space="0"/>
              <w:left w:val="single" w:color="000000" w:sz="4" w:space="0"/>
              <w:bottom w:val="nil"/>
              <w:right w:val="single" w:color="000000" w:sz="4" w:space="0"/>
            </w:tcBorders>
            <w:shd w:val="clear" w:color="auto" w:fill="auto"/>
            <w:vAlign w:val="center"/>
          </w:tcPr>
          <w:p w14:paraId="4CD20397">
            <w:pPr>
              <w:keepNext w:val="0"/>
              <w:keepLines w:val="0"/>
              <w:widowControl/>
              <w:suppressLineNumbers w:val="0"/>
              <w:jc w:val="center"/>
              <w:textAlignment w:val="center"/>
              <w:rPr>
                <w:rFonts w:hint="default" w:ascii="宋体" w:hAnsi="宋体" w:eastAsia="宋体" w:cs="宋体"/>
                <w:b/>
                <w:bCs/>
                <w:i w:val="0"/>
                <w:iCs w:val="0"/>
                <w:color w:val="auto"/>
                <w:sz w:val="20"/>
                <w:szCs w:val="20"/>
                <w:highlight w:val="none"/>
                <w:u w:val="none"/>
                <w:lang w:val="en-US" w:eastAsia="zh-CN"/>
              </w:rPr>
            </w:pPr>
            <w:r>
              <w:rPr>
                <w:rFonts w:hint="eastAsia" w:ascii="宋体" w:hAnsi="宋体" w:eastAsia="宋体" w:cs="宋体"/>
                <w:b/>
                <w:bCs/>
                <w:i w:val="0"/>
                <w:iCs w:val="0"/>
                <w:color w:val="auto"/>
                <w:sz w:val="20"/>
                <w:szCs w:val="20"/>
                <w:highlight w:val="none"/>
                <w:u w:val="none"/>
                <w:lang w:val="en-US" w:eastAsia="zh-CN"/>
              </w:rPr>
              <w:t>内业资料检查</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49B0240B">
            <w:pPr>
              <w:keepNext w:val="0"/>
              <w:keepLines w:val="0"/>
              <w:widowControl/>
              <w:suppressLineNumbers w:val="0"/>
              <w:jc w:val="left"/>
              <w:textAlignment w:val="center"/>
              <w:rPr>
                <w:rFonts w:hint="default"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资料检查细致，且数据来源对应，主要材料进场资料完备；各类标准试验上报批复准确，整改问题落实到位；薄弱环节检查到位。</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E19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3C15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0B3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F82F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383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r>
      <w:tr w14:paraId="7E5D8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jc w:val="center"/>
        </w:trPr>
        <w:tc>
          <w:tcPr>
            <w:tcW w:w="383"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1F1EB04">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2</w:t>
            </w:r>
          </w:p>
        </w:tc>
        <w:tc>
          <w:tcPr>
            <w:tcW w:w="1311" w:type="dxa"/>
            <w:tcBorders>
              <w:top w:val="single" w:color="000000" w:sz="4" w:space="0"/>
              <w:left w:val="single" w:color="000000" w:sz="4" w:space="0"/>
              <w:bottom w:val="nil"/>
              <w:right w:val="single" w:color="000000" w:sz="4" w:space="0"/>
            </w:tcBorders>
            <w:shd w:val="clear" w:color="auto" w:fill="auto"/>
            <w:vAlign w:val="center"/>
          </w:tcPr>
          <w:p w14:paraId="46FC022C">
            <w:pPr>
              <w:keepNext w:val="0"/>
              <w:keepLines w:val="0"/>
              <w:widowControl/>
              <w:suppressLineNumbers w:val="0"/>
              <w:jc w:val="center"/>
              <w:textAlignment w:val="center"/>
              <w:rPr>
                <w:rFonts w:hint="default" w:ascii="宋体" w:hAnsi="宋体" w:eastAsia="宋体" w:cs="宋体"/>
                <w:b/>
                <w:bCs/>
                <w:i w:val="0"/>
                <w:iCs w:val="0"/>
                <w:color w:val="auto"/>
                <w:sz w:val="20"/>
                <w:szCs w:val="20"/>
                <w:highlight w:val="none"/>
                <w:u w:val="none"/>
                <w:lang w:val="en-US"/>
              </w:rPr>
            </w:pPr>
            <w:r>
              <w:rPr>
                <w:rFonts w:hint="eastAsia" w:ascii="宋体" w:hAnsi="宋体" w:eastAsia="宋体" w:cs="宋体"/>
                <w:b/>
                <w:bCs/>
                <w:i w:val="0"/>
                <w:iCs w:val="0"/>
                <w:color w:val="auto"/>
                <w:kern w:val="0"/>
                <w:sz w:val="20"/>
                <w:szCs w:val="20"/>
                <w:highlight w:val="none"/>
                <w:u w:val="none"/>
                <w:lang w:val="en-US" w:eastAsia="zh-CN" w:bidi="ar"/>
              </w:rPr>
              <w:t>抽检内容</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22E7B566">
            <w:pPr>
              <w:keepNext w:val="0"/>
              <w:keepLines w:val="0"/>
              <w:widowControl/>
              <w:suppressLineNumbers w:val="0"/>
              <w:jc w:val="left"/>
              <w:textAlignment w:val="center"/>
              <w:rPr>
                <w:rFonts w:hint="default"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rPr>
              <w:t>抽检方式及工作量</w:t>
            </w:r>
            <w:r>
              <w:rPr>
                <w:rFonts w:hint="eastAsia" w:ascii="宋体" w:hAnsi="宋体" w:eastAsia="宋体" w:cs="宋体"/>
                <w:i w:val="0"/>
                <w:iCs w:val="0"/>
                <w:color w:val="auto"/>
                <w:sz w:val="18"/>
                <w:szCs w:val="18"/>
                <w:highlight w:val="none"/>
                <w:u w:val="none"/>
                <w:lang w:val="en-US" w:eastAsia="zh-CN"/>
              </w:rPr>
              <w:t>满足要求，总检测指标和检测点（组）数应符合工程量清单要求。</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7B50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71CD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4BF4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AFC7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D205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r>
      <w:tr w14:paraId="261C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jc w:val="center"/>
        </w:trPr>
        <w:tc>
          <w:tcPr>
            <w:tcW w:w="383"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F31F134">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693D">
            <w:pPr>
              <w:keepNext w:val="0"/>
              <w:keepLines w:val="0"/>
              <w:widowControl/>
              <w:suppressLineNumbers w:val="0"/>
              <w:jc w:val="center"/>
              <w:textAlignment w:val="center"/>
              <w:rPr>
                <w:rFonts w:hint="default" w:ascii="宋体" w:hAnsi="宋体" w:eastAsia="宋体" w:cs="宋体"/>
                <w:b/>
                <w:bCs/>
                <w:i w:val="0"/>
                <w:iCs w:val="0"/>
                <w:color w:val="auto"/>
                <w:sz w:val="20"/>
                <w:szCs w:val="20"/>
                <w:highlight w:val="none"/>
                <w:u w:val="none"/>
                <w:lang w:val="en-US" w:eastAsia="zh-CN"/>
              </w:rPr>
            </w:pPr>
            <w:r>
              <w:rPr>
                <w:rFonts w:hint="eastAsia" w:ascii="宋体" w:hAnsi="宋体" w:eastAsia="宋体" w:cs="宋体"/>
                <w:b/>
                <w:bCs/>
                <w:i w:val="0"/>
                <w:iCs w:val="0"/>
                <w:color w:val="auto"/>
                <w:sz w:val="20"/>
                <w:szCs w:val="20"/>
                <w:highlight w:val="none"/>
                <w:u w:val="none"/>
                <w:lang w:val="en-US" w:eastAsia="zh-CN"/>
              </w:rPr>
              <w:t>资料整理</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54E45AFA">
            <w:pPr>
              <w:keepNext w:val="0"/>
              <w:keepLines w:val="0"/>
              <w:widowControl/>
              <w:suppressLineNumbers w:val="0"/>
              <w:jc w:val="left"/>
              <w:textAlignment w:val="center"/>
              <w:rPr>
                <w:rFonts w:hint="default"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每次检测结束，试验及数据处理及时，整理意见及时，且及时反馈检测结果；检测报告内容及数量满足要求。</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CD2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BE72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15A0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5B34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BC06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r>
      <w:tr w14:paraId="2F601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jc w:val="center"/>
        </w:trPr>
        <w:tc>
          <w:tcPr>
            <w:tcW w:w="383"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CEA7836">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4</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AF72F">
            <w:pPr>
              <w:keepNext w:val="0"/>
              <w:keepLines w:val="0"/>
              <w:widowControl/>
              <w:suppressLineNumbers w:val="0"/>
              <w:jc w:val="center"/>
              <w:textAlignment w:val="center"/>
              <w:rPr>
                <w:rFonts w:hint="default" w:ascii="宋体" w:hAnsi="宋体" w:eastAsia="宋体" w:cs="宋体"/>
                <w:b/>
                <w:bCs/>
                <w:i w:val="0"/>
                <w:iCs w:val="0"/>
                <w:color w:val="auto"/>
                <w:sz w:val="20"/>
                <w:szCs w:val="20"/>
                <w:highlight w:val="none"/>
                <w:u w:val="none"/>
                <w:lang w:val="en-US"/>
              </w:rPr>
            </w:pPr>
            <w:r>
              <w:rPr>
                <w:rFonts w:hint="eastAsia" w:ascii="宋体" w:hAnsi="宋体" w:eastAsia="宋体" w:cs="宋体"/>
                <w:b/>
                <w:bCs/>
                <w:i w:val="0"/>
                <w:iCs w:val="0"/>
                <w:color w:val="auto"/>
                <w:kern w:val="0"/>
                <w:sz w:val="20"/>
                <w:szCs w:val="20"/>
                <w:highlight w:val="none"/>
                <w:u w:val="none"/>
                <w:lang w:val="en-US" w:eastAsia="zh-CN" w:bidi="ar"/>
              </w:rPr>
              <w:t>试验仪器管理</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767483FC">
            <w:pPr>
              <w:keepNext w:val="0"/>
              <w:keepLines w:val="0"/>
              <w:widowControl/>
              <w:suppressLineNumbers w:val="0"/>
              <w:jc w:val="left"/>
              <w:textAlignment w:val="center"/>
              <w:rPr>
                <w:rFonts w:hint="default"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每次检测试验仪器满足工作需求。</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693C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9EE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0D1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9831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E398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r>
      <w:tr w14:paraId="2E14A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383"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2685594E">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5</w:t>
            </w:r>
          </w:p>
        </w:tc>
        <w:tc>
          <w:tcPr>
            <w:tcW w:w="1311" w:type="dxa"/>
            <w:tcBorders>
              <w:top w:val="single" w:color="auto" w:sz="4" w:space="0"/>
              <w:left w:val="single" w:color="000000" w:sz="4" w:space="0"/>
              <w:bottom w:val="single" w:color="000000" w:sz="4" w:space="0"/>
              <w:right w:val="single" w:color="000000" w:sz="4" w:space="0"/>
            </w:tcBorders>
            <w:shd w:val="clear" w:color="auto" w:fill="auto"/>
            <w:vAlign w:val="center"/>
          </w:tcPr>
          <w:p w14:paraId="3136526C">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与甲方配合程度</w:t>
            </w:r>
          </w:p>
        </w:tc>
        <w:tc>
          <w:tcPr>
            <w:tcW w:w="4934" w:type="dxa"/>
            <w:tcBorders>
              <w:top w:val="single" w:color="auto" w:sz="4" w:space="0"/>
              <w:left w:val="single" w:color="000000" w:sz="4" w:space="0"/>
              <w:bottom w:val="single" w:color="000000" w:sz="4" w:space="0"/>
              <w:right w:val="single" w:color="auto" w:sz="4" w:space="0"/>
            </w:tcBorders>
            <w:shd w:val="clear" w:color="auto" w:fill="auto"/>
            <w:vAlign w:val="center"/>
          </w:tcPr>
          <w:p w14:paraId="01AE2C21">
            <w:pPr>
              <w:keepNext w:val="0"/>
              <w:keepLines w:val="0"/>
              <w:widowControl/>
              <w:suppressLineNumbers w:val="0"/>
              <w:jc w:val="left"/>
              <w:textAlignment w:val="center"/>
              <w:rPr>
                <w:rFonts w:hint="default"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满足甲方要求，且每次检查项目分工明确，与甲方配合默契。</w:t>
            </w:r>
          </w:p>
        </w:tc>
        <w:tc>
          <w:tcPr>
            <w:tcW w:w="636"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4E5805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CCD8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C3BB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E78A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A4FE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r>
      <w:tr w14:paraId="744AC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jc w:val="center"/>
        </w:trPr>
        <w:tc>
          <w:tcPr>
            <w:tcW w:w="6628" w:type="dxa"/>
            <w:gridSpan w:val="3"/>
            <w:tcBorders>
              <w:top w:val="single" w:color="000000" w:sz="4" w:space="0"/>
              <w:left w:val="single" w:color="auto" w:sz="4" w:space="0"/>
              <w:bottom w:val="single" w:color="auto" w:sz="4" w:space="0"/>
              <w:right w:val="single" w:color="auto" w:sz="4" w:space="0"/>
            </w:tcBorders>
            <w:shd w:val="clear" w:color="auto" w:fill="auto"/>
            <w:noWrap/>
            <w:vAlign w:val="center"/>
          </w:tcPr>
          <w:p w14:paraId="189F8FFB">
            <w:pPr>
              <w:keepNext w:val="0"/>
              <w:keepLines w:val="0"/>
              <w:widowControl/>
              <w:suppressLineNumbers w:val="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总得分：</w:t>
            </w:r>
          </w:p>
        </w:tc>
        <w:tc>
          <w:tcPr>
            <w:tcW w:w="2812" w:type="dxa"/>
            <w:gridSpan w:val="5"/>
            <w:tcBorders>
              <w:top w:val="single" w:color="000000" w:sz="4" w:space="0"/>
              <w:left w:val="single" w:color="auto" w:sz="4" w:space="0"/>
              <w:bottom w:val="single" w:color="000000" w:sz="4" w:space="0"/>
              <w:right w:val="single" w:color="000000" w:sz="4" w:space="0"/>
            </w:tcBorders>
            <w:shd w:val="clear" w:color="auto" w:fill="auto"/>
            <w:noWrap/>
            <w:vAlign w:val="center"/>
          </w:tcPr>
          <w:p w14:paraId="1C351B13">
            <w:pPr>
              <w:jc w:val="center"/>
              <w:rPr>
                <w:rFonts w:hint="eastAsia" w:ascii="宋体" w:hAnsi="宋体" w:eastAsia="宋体" w:cs="宋体"/>
                <w:b/>
                <w:bCs/>
                <w:i w:val="0"/>
                <w:iCs w:val="0"/>
                <w:color w:val="auto"/>
                <w:sz w:val="22"/>
                <w:szCs w:val="22"/>
                <w:highlight w:val="none"/>
                <w:u w:val="none"/>
              </w:rPr>
            </w:pPr>
          </w:p>
        </w:tc>
      </w:tr>
      <w:tr w14:paraId="51170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jc w:val="center"/>
        </w:trPr>
        <w:tc>
          <w:tcPr>
            <w:tcW w:w="9440" w:type="dxa"/>
            <w:gridSpan w:val="8"/>
            <w:tcBorders>
              <w:top w:val="single" w:color="000000" w:sz="4" w:space="0"/>
              <w:left w:val="single" w:color="000000" w:sz="4" w:space="0"/>
              <w:bottom w:val="single" w:color="000000" w:sz="4" w:space="0"/>
              <w:right w:val="single" w:color="000000" w:sz="4" w:space="0"/>
            </w:tcBorders>
            <w:shd w:val="clear" w:color="auto" w:fill="auto"/>
            <w:noWrap/>
            <w:vAlign w:val="top"/>
          </w:tcPr>
          <w:p w14:paraId="62B00CE2">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其它意见：</w:t>
            </w:r>
          </w:p>
        </w:tc>
      </w:tr>
      <w:tr w14:paraId="49E57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restart"/>
            <w:tcBorders>
              <w:top w:val="single" w:color="000000" w:sz="4" w:space="0"/>
              <w:left w:val="single" w:color="000000" w:sz="4" w:space="0"/>
              <w:bottom w:val="single" w:color="000000" w:sz="4" w:space="0"/>
              <w:right w:val="single" w:color="000000" w:sz="4" w:space="0"/>
            </w:tcBorders>
            <w:shd w:val="clear" w:color="auto" w:fill="auto"/>
            <w:noWrap/>
            <w:vAlign w:val="top"/>
          </w:tcPr>
          <w:p w14:paraId="2E20E7A4">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本月整改建议：</w:t>
            </w:r>
          </w:p>
        </w:tc>
      </w:tr>
      <w:tr w14:paraId="1C8E0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noWrap/>
            <w:vAlign w:val="top"/>
          </w:tcPr>
          <w:p w14:paraId="31E691DE">
            <w:pPr>
              <w:jc w:val="left"/>
              <w:rPr>
                <w:rFonts w:hint="eastAsia" w:ascii="宋体" w:hAnsi="宋体" w:eastAsia="宋体" w:cs="宋体"/>
                <w:i w:val="0"/>
                <w:iCs w:val="0"/>
                <w:color w:val="auto"/>
                <w:sz w:val="20"/>
                <w:szCs w:val="20"/>
                <w:highlight w:val="none"/>
                <w:u w:val="none"/>
              </w:rPr>
            </w:pPr>
          </w:p>
        </w:tc>
      </w:tr>
      <w:tr w14:paraId="7AF2C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000000" w:sz="4" w:space="0"/>
              <w:bottom w:val="single" w:color="auto" w:sz="4" w:space="0"/>
              <w:right w:val="single" w:color="000000" w:sz="4" w:space="0"/>
            </w:tcBorders>
            <w:shd w:val="clear" w:color="auto" w:fill="auto"/>
            <w:noWrap/>
            <w:vAlign w:val="top"/>
          </w:tcPr>
          <w:p w14:paraId="269B85FA">
            <w:pPr>
              <w:jc w:val="left"/>
              <w:rPr>
                <w:rFonts w:hint="eastAsia" w:ascii="宋体" w:hAnsi="宋体" w:eastAsia="宋体" w:cs="宋体"/>
                <w:i w:val="0"/>
                <w:iCs w:val="0"/>
                <w:color w:val="auto"/>
                <w:sz w:val="20"/>
                <w:szCs w:val="20"/>
                <w:highlight w:val="none"/>
                <w:u w:val="none"/>
              </w:rPr>
            </w:pPr>
          </w:p>
        </w:tc>
      </w:tr>
      <w:tr w14:paraId="10B95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restart"/>
            <w:tcBorders>
              <w:top w:val="single" w:color="auto" w:sz="4" w:space="0"/>
              <w:left w:val="single" w:color="auto" w:sz="4" w:space="0"/>
              <w:bottom w:val="single" w:color="000000" w:sz="4" w:space="0"/>
              <w:right w:val="single" w:color="auto" w:sz="4" w:space="0"/>
            </w:tcBorders>
            <w:shd w:val="clear" w:color="auto" w:fill="auto"/>
            <w:noWrap/>
            <w:vAlign w:val="top"/>
          </w:tcPr>
          <w:p w14:paraId="0835F912">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上月整改情况总结（上月整改建议执行情况及尚待加强的地方）：</w:t>
            </w:r>
          </w:p>
        </w:tc>
      </w:tr>
      <w:tr w14:paraId="23E44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auto" w:sz="4" w:space="0"/>
              <w:bottom w:val="single" w:color="000000" w:sz="4" w:space="0"/>
              <w:right w:val="single" w:color="auto" w:sz="4" w:space="0"/>
            </w:tcBorders>
            <w:shd w:val="clear" w:color="auto" w:fill="auto"/>
            <w:noWrap/>
            <w:vAlign w:val="top"/>
          </w:tcPr>
          <w:p w14:paraId="72E1058E">
            <w:pPr>
              <w:jc w:val="left"/>
              <w:rPr>
                <w:rFonts w:hint="eastAsia" w:ascii="宋体" w:hAnsi="宋体" w:eastAsia="宋体" w:cs="宋体"/>
                <w:i w:val="0"/>
                <w:iCs w:val="0"/>
                <w:color w:val="auto"/>
                <w:sz w:val="20"/>
                <w:szCs w:val="20"/>
                <w:highlight w:val="none"/>
                <w:u w:val="none"/>
              </w:rPr>
            </w:pPr>
          </w:p>
        </w:tc>
      </w:tr>
      <w:tr w14:paraId="35EFB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auto" w:sz="4" w:space="0"/>
              <w:bottom w:val="single" w:color="000000" w:sz="4" w:space="0"/>
              <w:right w:val="single" w:color="auto" w:sz="4" w:space="0"/>
            </w:tcBorders>
            <w:shd w:val="clear" w:color="auto" w:fill="auto"/>
            <w:noWrap/>
            <w:vAlign w:val="top"/>
          </w:tcPr>
          <w:p w14:paraId="22D8FA1F">
            <w:pPr>
              <w:jc w:val="left"/>
              <w:rPr>
                <w:rFonts w:hint="eastAsia" w:ascii="宋体" w:hAnsi="宋体" w:eastAsia="宋体" w:cs="宋体"/>
                <w:i w:val="0"/>
                <w:iCs w:val="0"/>
                <w:color w:val="auto"/>
                <w:sz w:val="20"/>
                <w:szCs w:val="20"/>
                <w:highlight w:val="none"/>
                <w:u w:val="none"/>
              </w:rPr>
            </w:pPr>
          </w:p>
        </w:tc>
      </w:tr>
      <w:tr w14:paraId="73857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tcBorders>
              <w:top w:val="nil"/>
              <w:left w:val="single" w:color="auto" w:sz="4" w:space="0"/>
              <w:bottom w:val="single" w:color="000000" w:sz="4" w:space="0"/>
              <w:right w:val="single" w:color="auto" w:sz="4" w:space="0"/>
            </w:tcBorders>
            <w:shd w:val="clear" w:color="auto" w:fill="auto"/>
            <w:vAlign w:val="top"/>
          </w:tcPr>
          <w:p w14:paraId="1323596A">
            <w:pPr>
              <w:keepNext w:val="0"/>
              <w:keepLines w:val="0"/>
              <w:widowControl/>
              <w:suppressLineNumbers w:val="0"/>
              <w:jc w:val="center"/>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测评人/日期：</w:t>
            </w:r>
          </w:p>
        </w:tc>
      </w:tr>
      <w:tr w14:paraId="0E417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9" w:hRule="atLeast"/>
          <w:jc w:val="center"/>
        </w:trPr>
        <w:tc>
          <w:tcPr>
            <w:tcW w:w="9440" w:type="dxa"/>
            <w:gridSpan w:val="8"/>
            <w:tcBorders>
              <w:top w:val="single" w:color="000000" w:sz="4" w:space="0"/>
              <w:left w:val="single" w:color="auto" w:sz="4" w:space="0"/>
              <w:bottom w:val="single" w:color="auto" w:sz="4" w:space="0"/>
              <w:right w:val="single" w:color="auto" w:sz="4" w:space="0"/>
            </w:tcBorders>
            <w:shd w:val="clear" w:color="auto" w:fill="auto"/>
            <w:vAlign w:val="center"/>
          </w:tcPr>
          <w:p w14:paraId="740B933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说明：每月末对乙方服务质量作出总体考核评估。考核标准如下：                                                                               1.按满分100分，每月考核分值达80分以上(含80分)，表示服务质量达标。                                                                                                                             2.每月考核分值低于80分，表示服务质量达不到要求，扣除履约保证金的0.5%，直至扣完为止。</w:t>
            </w:r>
          </w:p>
        </w:tc>
      </w:tr>
    </w:tbl>
    <w:p w14:paraId="151E556A">
      <w:pPr>
        <w:rPr>
          <w:color w:val="auto"/>
        </w:rPr>
      </w:pPr>
    </w:p>
    <w:bookmarkEnd w:id="34"/>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DFE9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23F9A">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9423F9A">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474228"/>
    <w:multiLevelType w:val="singleLevel"/>
    <w:tmpl w:val="D9474228"/>
    <w:lvl w:ilvl="0" w:tentative="0">
      <w:start w:val="1"/>
      <w:numFmt w:val="chineseCounting"/>
      <w:suff w:val="nothing"/>
      <w:lvlText w:val="（%1）"/>
      <w:lvlJc w:val="left"/>
      <w:rPr>
        <w:rFonts w:hint="eastAsia"/>
      </w:rPr>
    </w:lvl>
  </w:abstractNum>
  <w:abstractNum w:abstractNumId="1">
    <w:nsid w:val="1D8A8308"/>
    <w:multiLevelType w:val="singleLevel"/>
    <w:tmpl w:val="1D8A8308"/>
    <w:lvl w:ilvl="0" w:tentative="0">
      <w:start w:val="1"/>
      <w:numFmt w:val="decimal"/>
      <w:suff w:val="nothing"/>
      <w:lvlText w:val="%1．"/>
      <w:lvlJc w:val="left"/>
    </w:lvl>
  </w:abstractNum>
  <w:abstractNum w:abstractNumId="2">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E203C2"/>
    <w:rsid w:val="17E9534D"/>
    <w:rsid w:val="76455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240" w:line="576" w:lineRule="auto"/>
      <w:jc w:val="center"/>
      <w:outlineLvl w:val="0"/>
    </w:pPr>
    <w:rPr>
      <w:rFonts w:ascii="Times New Roman" w:hAnsi="Times New Roman" w:eastAsia="黑体"/>
      <w:b/>
      <w:kern w:val="44"/>
      <w:sz w:val="44"/>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szCs w:val="24"/>
    </w:rPr>
  </w:style>
  <w:style w:type="paragraph" w:styleId="4">
    <w:name w:val="Normal Indent"/>
    <w:basedOn w:val="1"/>
    <w:qFormat/>
    <w:uiPriority w:val="0"/>
    <w:pPr>
      <w:adjustRightInd w:val="0"/>
      <w:spacing w:line="360" w:lineRule="atLeast"/>
      <w:ind w:firstLine="482"/>
      <w:textAlignment w:val="baseline"/>
    </w:pPr>
    <w:rPr>
      <w:kern w:val="0"/>
      <w:sz w:val="24"/>
      <w:szCs w:val="20"/>
    </w:rPr>
  </w:style>
  <w:style w:type="paragraph" w:styleId="5">
    <w:name w:val="Body Text"/>
    <w:basedOn w:val="1"/>
    <w:next w:val="1"/>
    <w:qFormat/>
    <w:uiPriority w:val="99"/>
    <w:pPr>
      <w:widowControl/>
      <w:jc w:val="left"/>
    </w:pPr>
    <w:rPr>
      <w:kern w:val="0"/>
      <w:sz w:val="24"/>
      <w:szCs w:val="20"/>
    </w:rPr>
  </w:style>
  <w:style w:type="paragraph" w:styleId="6">
    <w:name w:val="footer"/>
    <w:basedOn w:val="1"/>
    <w:next w:val="5"/>
    <w:qFormat/>
    <w:uiPriority w:val="0"/>
    <w:pPr>
      <w:tabs>
        <w:tab w:val="center" w:pos="4153"/>
        <w:tab w:val="right" w:pos="8306"/>
      </w:tabs>
      <w:snapToGrid w:val="0"/>
      <w:jc w:val="left"/>
    </w:pPr>
    <w:rPr>
      <w:sz w:val="18"/>
      <w:szCs w:val="18"/>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customStyle="1" w:styleId="10">
    <w:name w:val="列出段落1"/>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 w:type="paragraph" w:styleId="11">
    <w:name w:val="List Paragraph"/>
    <w:basedOn w:val="1"/>
    <w:qFormat/>
    <w:uiPriority w:val="34"/>
    <w:pPr>
      <w:widowControl/>
      <w:ind w:firstLine="420" w:firstLineChars="200"/>
      <w:jc w:val="left"/>
    </w:pPr>
    <w:rPr>
      <w:rFonts w:ascii="宋体" w:hAnsi="宋体" w:cs="宋体"/>
      <w:kern w:val="0"/>
      <w:sz w:val="24"/>
    </w:rPr>
  </w:style>
  <w:style w:type="paragraph" w:customStyle="1" w:styleId="12">
    <w:name w:val="Default"/>
    <w:qFormat/>
    <w:uiPriority w:val="0"/>
    <w:pPr>
      <w:widowControl w:val="0"/>
      <w:autoSpaceDE w:val="0"/>
      <w:autoSpaceDN w:val="0"/>
      <w:adjustRightInd w:val="0"/>
    </w:pPr>
    <w:rPr>
      <w:rFonts w:ascii="宋体" w:hAnsi="Times New Roman" w:eastAsia="Arial Unicode MS"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2024-03-05T07:20:00Z</dcterms:created>
  <dc:creator>USER-21</dc:creator>
  <cp:lastModifiedBy>正大方略</cp:lastModifiedBy>
  <dcterms:modified xsi:type="dcterms:W3CDTF">2025-05-08T01:40:10Z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5FCFC1ACC0384269B9A9646A6A8C411B_12</vt:lpwstr>
  </property>
  <property fmtid="{D5CDD505-2E9C-101B-9397-08002B2CF9AE}" pid="4" name="KSOTemplateDocerSaveRecord">
    <vt:lpwstr>eyJoZGlkIjoiYzcxNTk3Y2JhNThlODA3MTU5ZDk4NTJmMzIxZWNmMzEiLCJ1c2VySWQiOiIzNTg1ODY0MjgifQ==</vt:lpwstr>
  </property>
</Properties>
</file>