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1F027D">
      <w:pPr>
        <w:autoSpaceDE w:val="0"/>
        <w:autoSpaceDN w:val="0"/>
        <w:adjustRightInd w:val="0"/>
        <w:snapToGrid w:val="0"/>
        <w:spacing w:after="312" w:afterLines="100" w:line="420" w:lineRule="exact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bookmarkStart w:id="15" w:name="_GoBack"/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合同文本</w:t>
      </w:r>
      <w:bookmarkEnd w:id="15"/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（参考格式）</w:t>
      </w:r>
    </w:p>
    <w:p w14:paraId="27EEAB25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甲方：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（采购人）</w:t>
      </w:r>
    </w:p>
    <w:p w14:paraId="3A2BE7C7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乙方：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（成交供应商）</w:t>
      </w:r>
    </w:p>
    <w:p w14:paraId="40800261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项目在陕西省财政厅的监督管理下，由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（以下简称甲方）委托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陕西中达恒辉项目管理有限公司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组织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竞争性磋商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，经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确定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公司（以下简称乙方）为该项目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包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成交供应商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。依据《中华人民共和国民法典》经甲、乙双方共同协商，按下述条款和条件签署本合同。</w:t>
      </w:r>
    </w:p>
    <w:p w14:paraId="2B4DC643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baseline"/>
        <w:rPr>
          <w:rFonts w:hint="eastAsia" w:ascii="仿宋" w:hAnsi="仿宋" w:eastAsia="仿宋" w:cs="仿宋"/>
          <w:b/>
          <w:color w:val="auto"/>
          <w:sz w:val="24"/>
          <w:szCs w:val="24"/>
          <w:shd w:val="clear" w:color="auto" w:fill="FFFFFF"/>
        </w:rPr>
      </w:pPr>
      <w:bookmarkStart w:id="0" w:name="_Toc29588"/>
      <w:bookmarkStart w:id="1" w:name="_Toc9696"/>
      <w:r>
        <w:rPr>
          <w:rFonts w:hint="eastAsia" w:ascii="仿宋" w:hAnsi="仿宋" w:eastAsia="仿宋" w:cs="仿宋"/>
          <w:b/>
          <w:color w:val="auto"/>
          <w:sz w:val="24"/>
          <w:szCs w:val="24"/>
          <w:shd w:val="clear" w:color="auto" w:fill="FFFFFF"/>
        </w:rPr>
        <w:t>1.合同内容</w:t>
      </w:r>
    </w:p>
    <w:p w14:paraId="1AF5180C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  <w:t>1.1 乙方负责按照合同确定的内容提供甲方所需的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shd w:val="clear" w:color="auto" w:fill="FFFFFF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  <w:t>服务，内容及要求见附件。</w:t>
      </w:r>
    </w:p>
    <w:p w14:paraId="6ECCA5A4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  <w:t>1.2 服务期：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  <w:t>。</w:t>
      </w:r>
    </w:p>
    <w:p w14:paraId="44161829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  <w:t>1.3 服务地点：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shd w:val="clear" w:color="auto" w:fill="FFFFFF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shd w:val="clear" w:color="auto" w:fill="FFFFFF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shd w:val="clear" w:color="auto" w:fill="FFFFFF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  <w:t>。</w:t>
      </w:r>
    </w:p>
    <w:p w14:paraId="5762958B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baseline"/>
        <w:rPr>
          <w:rFonts w:hint="eastAsia" w:ascii="仿宋" w:hAnsi="仿宋" w:eastAsia="仿宋" w:cs="仿宋"/>
          <w:b/>
          <w:color w:val="auto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shd w:val="clear" w:color="auto" w:fill="FFFFFF"/>
        </w:rPr>
        <w:t>2.合同价格及支付</w:t>
      </w:r>
    </w:p>
    <w:p w14:paraId="0B34D503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  <w:t>2.1 合同金额为（大写）：人民币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shd w:val="clear" w:color="auto" w:fill="FFFFFF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  <w:t>（¥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shd w:val="clear" w:color="auto" w:fill="FFFFFF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  <w:t>元）。</w:t>
      </w:r>
    </w:p>
    <w:p w14:paraId="308FD786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  <w:t>2.2 支付：</w:t>
      </w:r>
    </w:p>
    <w:p w14:paraId="6D979771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  <w:t>（1）本合同的款项以对公转账方式支付。</w:t>
      </w:r>
    </w:p>
    <w:p w14:paraId="44D8E0D5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  <w:t>（2）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shd w:val="clear" w:color="auto" w:fill="FFFFFF"/>
        </w:rPr>
        <w:t xml:space="preserve">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  <w:t>。</w:t>
      </w:r>
    </w:p>
    <w:p w14:paraId="4711576D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  <w:t>（3）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shd w:val="clear" w:color="auto" w:fill="FFFFFF"/>
        </w:rPr>
        <w:t xml:space="preserve">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  <w:t>。</w:t>
      </w:r>
    </w:p>
    <w:p w14:paraId="02DA5794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  <w:t>（4）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shd w:val="clear" w:color="auto" w:fill="FFFFFF"/>
        </w:rPr>
        <w:t xml:space="preserve">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  <w:t>。</w:t>
      </w:r>
    </w:p>
    <w:p w14:paraId="4B79E11F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  <w:t>注：合同价款包括项目直接费、间接费、运行费、税费等一切费用，不受市场价格变化的影响，并作为结算的唯一依据。</w:t>
      </w:r>
    </w:p>
    <w:p w14:paraId="1874F654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baseline"/>
        <w:rPr>
          <w:rFonts w:hint="eastAsia" w:ascii="仿宋" w:hAnsi="仿宋" w:eastAsia="仿宋" w:cs="仿宋"/>
          <w:b/>
          <w:color w:val="auto"/>
          <w:sz w:val="24"/>
          <w:szCs w:val="24"/>
          <w:shd w:val="clear" w:color="auto" w:fill="FFFFFF"/>
        </w:rPr>
      </w:pPr>
      <w:bookmarkStart w:id="2" w:name="_Toc18916_WPSOffice_Level2"/>
      <w:bookmarkStart w:id="3" w:name="_Toc12297"/>
      <w:bookmarkStart w:id="4" w:name="_Toc10784"/>
      <w:r>
        <w:rPr>
          <w:rFonts w:hint="eastAsia" w:ascii="仿宋" w:hAnsi="仿宋" w:eastAsia="仿宋" w:cs="仿宋"/>
          <w:b/>
          <w:color w:val="auto"/>
          <w:sz w:val="24"/>
          <w:szCs w:val="24"/>
          <w:shd w:val="clear" w:color="auto" w:fill="FFFFFF"/>
        </w:rPr>
        <w:t>3.服务</w:t>
      </w:r>
      <w:bookmarkEnd w:id="2"/>
      <w:r>
        <w:rPr>
          <w:rFonts w:hint="eastAsia" w:ascii="仿宋" w:hAnsi="仿宋" w:eastAsia="仿宋" w:cs="仿宋"/>
          <w:b/>
          <w:color w:val="auto"/>
          <w:sz w:val="24"/>
          <w:szCs w:val="24"/>
          <w:shd w:val="clear" w:color="auto" w:fill="FFFFFF"/>
        </w:rPr>
        <w:t>要求及标准</w:t>
      </w:r>
    </w:p>
    <w:bookmarkEnd w:id="3"/>
    <w:bookmarkEnd w:id="4"/>
    <w:p w14:paraId="65A7A1A9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  <w:t xml:space="preserve">3.1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shd w:val="clear" w:color="auto" w:fill="FFFFFF"/>
        </w:rPr>
        <w:t xml:space="preserve">   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  <w:t xml:space="preserve"> 。</w:t>
      </w:r>
    </w:p>
    <w:p w14:paraId="74726383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  <w:t xml:space="preserve">3.2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shd w:val="clear" w:color="auto" w:fill="FFFFFF"/>
        </w:rPr>
        <w:t xml:space="preserve">   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  <w:t xml:space="preserve"> 。</w:t>
      </w:r>
    </w:p>
    <w:p w14:paraId="5F5048EC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  <w:t>……</w:t>
      </w:r>
    </w:p>
    <w:p w14:paraId="5610BE95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baseline"/>
        <w:rPr>
          <w:rFonts w:hint="eastAsia" w:ascii="仿宋" w:hAnsi="仿宋" w:eastAsia="仿宋" w:cs="仿宋"/>
          <w:b/>
          <w:color w:val="auto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shd w:val="clear" w:color="auto" w:fill="FFFFFF"/>
        </w:rPr>
        <w:t>4.违约责任</w:t>
      </w:r>
    </w:p>
    <w:bookmarkEnd w:id="0"/>
    <w:bookmarkEnd w:id="1"/>
    <w:p w14:paraId="26087E47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  <w:t>4.1 本合同若与甲方的上级管理机关的政策性行为或其他规定发生冲突，甲方有权与乙方协商调整合同内容或终止合同执行。</w:t>
      </w:r>
    </w:p>
    <w:p w14:paraId="7DF250D0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  <w:t>4.2 如乙方提供的服务标准与合同标准不相符合，则甲方有权拒收乙方提供的服务、解除本合同、拒付本合同项下的价款并追究乙方违约责任，乙方应返还甲方已支付的全部款项，并按合同总价款的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shd w:val="clear" w:color="auto" w:fill="FFFFFF"/>
        </w:rPr>
        <w:t xml:space="preserve">20% </w:t>
      </w:r>
      <w:r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  <w:t>向甲方支付违约金并赔偿甲方因此而遭受的一切损失。</w:t>
      </w:r>
    </w:p>
    <w:p w14:paraId="1C7E0579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  <w:t>4.3 由于不可抗力（不可抗力仅指自然灾害、战争）所导致的违约，根据不可抗力的影响范围，可部分或全部免除违约方的违约责任，但违约方应及时通知对方并在不可抗力事件发生之日起5日内提供符合法律规定的证明文件，否则应赔偿对方因此而遭受的损失。</w:t>
      </w:r>
    </w:p>
    <w:p w14:paraId="4FDBB01A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4"/>
          <w:szCs w:val="24"/>
          <w:shd w:val="clear" w:color="auto" w:fill="FFFFFF"/>
        </w:rPr>
        <w:t>4.4 未及之处按《民法典》中的相关条款执行。</w:t>
      </w:r>
    </w:p>
    <w:p w14:paraId="285072E3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baseline"/>
        <w:rPr>
          <w:rFonts w:hint="eastAsia" w:ascii="仿宋" w:hAnsi="仿宋" w:eastAsia="仿宋" w:cs="仿宋"/>
          <w:b/>
          <w:color w:val="auto"/>
          <w:sz w:val="24"/>
          <w:szCs w:val="24"/>
          <w:shd w:val="clear" w:color="auto" w:fill="FFFFFF"/>
        </w:rPr>
      </w:pPr>
      <w:bookmarkStart w:id="5" w:name="_Toc18421"/>
      <w:bookmarkStart w:id="6" w:name="_Toc14590"/>
      <w:r>
        <w:rPr>
          <w:rFonts w:hint="eastAsia" w:ascii="仿宋" w:hAnsi="仿宋" w:eastAsia="仿宋" w:cs="仿宋"/>
          <w:b/>
          <w:color w:val="auto"/>
          <w:sz w:val="24"/>
          <w:szCs w:val="24"/>
          <w:shd w:val="clear" w:color="auto" w:fill="FFFFFF"/>
        </w:rPr>
        <w:t>5.保密条款</w:t>
      </w:r>
      <w:bookmarkEnd w:id="5"/>
      <w:bookmarkEnd w:id="6"/>
    </w:p>
    <w:p w14:paraId="65CC289F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甲、乙双方对本合同履行过程中获得的对方的资料数据、商业技术信息等承担保密责任。未经对方事先书面同意，任何一方不得以任何形式向第三方泄露，也不得公开本合同及其相关附件内容。本合同的解除或终止，不免除双方对本保密条款的遵守。</w:t>
      </w:r>
    </w:p>
    <w:p w14:paraId="3086237E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baseline"/>
        <w:rPr>
          <w:rFonts w:hint="eastAsia" w:ascii="仿宋" w:hAnsi="仿宋" w:eastAsia="仿宋" w:cs="仿宋"/>
          <w:b/>
          <w:color w:val="auto"/>
          <w:sz w:val="24"/>
          <w:szCs w:val="24"/>
          <w:shd w:val="clear" w:color="auto" w:fill="FFFFFF"/>
        </w:rPr>
      </w:pPr>
      <w:bookmarkStart w:id="7" w:name="_Toc18460"/>
      <w:bookmarkStart w:id="8" w:name="_Toc24354"/>
      <w:r>
        <w:rPr>
          <w:rFonts w:hint="eastAsia" w:ascii="仿宋" w:hAnsi="仿宋" w:eastAsia="仿宋" w:cs="仿宋"/>
          <w:b/>
          <w:color w:val="auto"/>
          <w:sz w:val="24"/>
          <w:szCs w:val="24"/>
          <w:shd w:val="clear" w:color="auto" w:fill="FFFFFF"/>
        </w:rPr>
        <w:t>6.合同</w:t>
      </w:r>
      <w:bookmarkEnd w:id="7"/>
      <w:bookmarkEnd w:id="8"/>
      <w:r>
        <w:rPr>
          <w:rFonts w:hint="eastAsia" w:ascii="仿宋" w:hAnsi="仿宋" w:eastAsia="仿宋" w:cs="仿宋"/>
          <w:b/>
          <w:color w:val="auto"/>
          <w:sz w:val="24"/>
          <w:szCs w:val="24"/>
          <w:shd w:val="clear" w:color="auto" w:fill="FFFFFF"/>
        </w:rPr>
        <w:t>保证</w:t>
      </w:r>
    </w:p>
    <w:p w14:paraId="19578E15">
      <w:pPr>
        <w:pStyle w:val="4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0"/>
        <w:textAlignment w:val="baseline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除《中华人民共和国政府采购法》第49条、第50条第二款规定的情形外，本合同一经签订，甲乙双方不得擅自变更、中止或终止合同。</w:t>
      </w:r>
    </w:p>
    <w:p w14:paraId="2F7757DF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baseline"/>
        <w:rPr>
          <w:rFonts w:hint="eastAsia" w:ascii="仿宋" w:hAnsi="仿宋" w:eastAsia="仿宋" w:cs="仿宋"/>
          <w:b/>
          <w:color w:val="auto"/>
          <w:sz w:val="24"/>
          <w:szCs w:val="24"/>
          <w:shd w:val="clear" w:color="auto" w:fill="FFFFFF"/>
        </w:rPr>
      </w:pPr>
      <w:bookmarkStart w:id="9" w:name="_Toc2019"/>
      <w:bookmarkStart w:id="10" w:name="_Toc23231"/>
      <w:r>
        <w:rPr>
          <w:rFonts w:hint="eastAsia" w:ascii="仿宋" w:hAnsi="仿宋" w:eastAsia="仿宋" w:cs="仿宋"/>
          <w:b/>
          <w:color w:val="auto"/>
          <w:sz w:val="24"/>
          <w:szCs w:val="24"/>
          <w:shd w:val="clear" w:color="auto" w:fill="FFFFFF"/>
        </w:rPr>
        <w:t>7.合同争议解决的方式</w:t>
      </w:r>
      <w:bookmarkEnd w:id="9"/>
      <w:bookmarkEnd w:id="10"/>
    </w:p>
    <w:p w14:paraId="2E225DA5">
      <w:pPr>
        <w:pStyle w:val="4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0"/>
        <w:textAlignment w:val="baseline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7.1 因服务的质量问题发生争议，由质量技术监督部门或其指定的质量鉴定机构进行质量鉴定。符合标准的，鉴定费由甲方承担；不符合质量标准的，鉴定费由乙方承担。</w:t>
      </w:r>
    </w:p>
    <w:p w14:paraId="70CF80CA">
      <w:pPr>
        <w:pStyle w:val="4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7.2 因履行本合同引起的或与本合同有关的争议，甲、乙双方应首先通过友好协商解决，如果协商不成，则采取以下第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1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种方式解决争议：</w:t>
      </w:r>
    </w:p>
    <w:p w14:paraId="25964F64">
      <w:pPr>
        <w:pStyle w:val="4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（1）向甲方所在地有管辖权的人民法院提起诉讼；</w:t>
      </w:r>
    </w:p>
    <w:p w14:paraId="51DE7988">
      <w:pPr>
        <w:pStyle w:val="4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（2）向西安仲裁委员会按其仲裁规则申请仲裁。</w:t>
      </w:r>
    </w:p>
    <w:p w14:paraId="6041874C">
      <w:pPr>
        <w:pStyle w:val="4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7.3 仲裁期间，本合同应继续履行。</w:t>
      </w:r>
    </w:p>
    <w:p w14:paraId="0449E36A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baseline"/>
        <w:rPr>
          <w:rFonts w:hint="eastAsia" w:ascii="仿宋" w:hAnsi="仿宋" w:eastAsia="仿宋" w:cs="仿宋"/>
          <w:b/>
          <w:color w:val="auto"/>
          <w:sz w:val="24"/>
          <w:szCs w:val="24"/>
          <w:shd w:val="clear" w:color="auto" w:fill="FFFFFF"/>
        </w:rPr>
      </w:pPr>
      <w:bookmarkStart w:id="11" w:name="_Toc23719"/>
      <w:bookmarkStart w:id="12" w:name="_Toc3946"/>
      <w:r>
        <w:rPr>
          <w:rFonts w:hint="eastAsia" w:ascii="仿宋" w:hAnsi="仿宋" w:eastAsia="仿宋" w:cs="仿宋"/>
          <w:b/>
          <w:color w:val="auto"/>
          <w:sz w:val="24"/>
          <w:szCs w:val="24"/>
          <w:shd w:val="clear" w:color="auto" w:fill="FFFFFF"/>
        </w:rPr>
        <w:t>8.合同文件</w:t>
      </w:r>
      <w:bookmarkEnd w:id="11"/>
      <w:bookmarkEnd w:id="12"/>
    </w:p>
    <w:p w14:paraId="757B8274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有关合同项目的特定信息由合同附件予以说明，下列文件构成本合同的组成部分，彼此相互解释，相互补充。组成合同的多个文件的优先支配地位的次序如下：</w:t>
      </w:r>
    </w:p>
    <w:p w14:paraId="63AC8662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（1）本合同书（2）成交通知书（3）协议（4）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文件(含澄清或者修改文件)（5）响应文件</w:t>
      </w:r>
    </w:p>
    <w:p w14:paraId="11D14962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baseline"/>
        <w:rPr>
          <w:rFonts w:hint="eastAsia" w:ascii="仿宋" w:hAnsi="仿宋" w:eastAsia="仿宋" w:cs="仿宋"/>
          <w:b/>
          <w:color w:val="auto"/>
          <w:sz w:val="24"/>
          <w:szCs w:val="24"/>
          <w:shd w:val="clear" w:color="auto" w:fill="FFFFFF"/>
        </w:rPr>
      </w:pPr>
      <w:bookmarkStart w:id="13" w:name="_Toc16981"/>
      <w:bookmarkStart w:id="14" w:name="_Toc21719"/>
      <w:r>
        <w:rPr>
          <w:rFonts w:hint="eastAsia" w:ascii="仿宋" w:hAnsi="仿宋" w:eastAsia="仿宋" w:cs="仿宋"/>
          <w:b/>
          <w:color w:val="auto"/>
          <w:sz w:val="24"/>
          <w:szCs w:val="24"/>
          <w:shd w:val="clear" w:color="auto" w:fill="FFFFFF"/>
        </w:rPr>
        <w:t>9.其他事项</w:t>
      </w:r>
      <w:bookmarkEnd w:id="13"/>
      <w:bookmarkEnd w:id="14"/>
    </w:p>
    <w:p w14:paraId="08A23B39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9.1 陕西省财政厅在合同的履行期间以及履行期后，可以随时检查项目的执行情况，对采购标准、采购内容进行调查核实，并对发现的问题进行处理。</w:t>
      </w:r>
    </w:p>
    <w:p w14:paraId="14FF50EA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9.2 乙方应根据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文件要求向采购代理机构交纳代理服务费并取得甲方的签章后，合同才正式生效。</w:t>
      </w:r>
    </w:p>
    <w:p w14:paraId="1143ED19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9.3 本合同一式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份，甲方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份，乙方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份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所有合同具有同等法律效力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 w14:paraId="79B5B77A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9.4 本合同未尽事项，补充合同内容。</w:t>
      </w:r>
    </w:p>
    <w:tbl>
      <w:tblPr>
        <w:tblStyle w:val="2"/>
        <w:tblpPr w:leftFromText="180" w:rightFromText="180" w:vertAnchor="text" w:horzAnchor="page" w:tblpX="1545" w:tblpY="734"/>
        <w:tblOverlap w:val="never"/>
        <w:tblW w:w="99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8"/>
        <w:gridCol w:w="4961"/>
      </w:tblGrid>
      <w:tr w14:paraId="4878C5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4958" w:type="dxa"/>
            <w:vAlign w:val="center"/>
          </w:tcPr>
          <w:p w14:paraId="62D31DBD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甲方:                         （盖章）</w:t>
            </w:r>
          </w:p>
        </w:tc>
        <w:tc>
          <w:tcPr>
            <w:tcW w:w="4961" w:type="dxa"/>
            <w:vAlign w:val="center"/>
          </w:tcPr>
          <w:p w14:paraId="741A2588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乙方:                    （盖章）</w:t>
            </w:r>
          </w:p>
        </w:tc>
      </w:tr>
      <w:tr w14:paraId="12FAD0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4958" w:type="dxa"/>
            <w:vAlign w:val="center"/>
          </w:tcPr>
          <w:p w14:paraId="19180275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地址： </w:t>
            </w:r>
          </w:p>
        </w:tc>
        <w:tc>
          <w:tcPr>
            <w:tcW w:w="4961" w:type="dxa"/>
            <w:vAlign w:val="center"/>
          </w:tcPr>
          <w:p w14:paraId="4F742E1A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地址：</w:t>
            </w:r>
          </w:p>
        </w:tc>
      </w:tr>
      <w:tr w14:paraId="02FD3B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4958" w:type="dxa"/>
            <w:vAlign w:val="center"/>
          </w:tcPr>
          <w:p w14:paraId="5843332F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邮编：</w:t>
            </w:r>
          </w:p>
        </w:tc>
        <w:tc>
          <w:tcPr>
            <w:tcW w:w="4961" w:type="dxa"/>
            <w:vAlign w:val="center"/>
          </w:tcPr>
          <w:p w14:paraId="5363854A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邮编：</w:t>
            </w:r>
          </w:p>
        </w:tc>
      </w:tr>
      <w:tr w14:paraId="7B6834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4958" w:type="dxa"/>
          </w:tcPr>
          <w:p w14:paraId="05C6A281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法定代表人（签字或盖章）：</w:t>
            </w:r>
          </w:p>
        </w:tc>
        <w:tc>
          <w:tcPr>
            <w:tcW w:w="4961" w:type="dxa"/>
          </w:tcPr>
          <w:p w14:paraId="1AF50842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法定代表人（签字或盖章）：</w:t>
            </w:r>
          </w:p>
        </w:tc>
      </w:tr>
      <w:tr w14:paraId="14FD94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4958" w:type="dxa"/>
          </w:tcPr>
          <w:p w14:paraId="49D1F3DF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被授权代表：（签字）</w:t>
            </w:r>
          </w:p>
        </w:tc>
        <w:tc>
          <w:tcPr>
            <w:tcW w:w="4961" w:type="dxa"/>
          </w:tcPr>
          <w:p w14:paraId="3CC65652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被授权代表：（签字）</w:t>
            </w:r>
          </w:p>
        </w:tc>
      </w:tr>
      <w:tr w14:paraId="06E3C0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4958" w:type="dxa"/>
            <w:vAlign w:val="center"/>
          </w:tcPr>
          <w:p w14:paraId="4276E11D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电话：</w:t>
            </w:r>
          </w:p>
        </w:tc>
        <w:tc>
          <w:tcPr>
            <w:tcW w:w="4961" w:type="dxa"/>
            <w:vAlign w:val="center"/>
          </w:tcPr>
          <w:p w14:paraId="64747274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电话：</w:t>
            </w:r>
          </w:p>
        </w:tc>
      </w:tr>
      <w:tr w14:paraId="58A5D7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4958" w:type="dxa"/>
            <w:vAlign w:val="center"/>
          </w:tcPr>
          <w:p w14:paraId="379DEFE1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传真：</w:t>
            </w:r>
          </w:p>
        </w:tc>
        <w:tc>
          <w:tcPr>
            <w:tcW w:w="4961" w:type="dxa"/>
            <w:vAlign w:val="center"/>
          </w:tcPr>
          <w:p w14:paraId="4E9AB4E8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传真：</w:t>
            </w:r>
          </w:p>
        </w:tc>
      </w:tr>
      <w:tr w14:paraId="7D2183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4958" w:type="dxa"/>
            <w:vAlign w:val="center"/>
          </w:tcPr>
          <w:p w14:paraId="50A6D57E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开户银行：</w:t>
            </w:r>
          </w:p>
        </w:tc>
        <w:tc>
          <w:tcPr>
            <w:tcW w:w="4961" w:type="dxa"/>
            <w:vAlign w:val="center"/>
          </w:tcPr>
          <w:p w14:paraId="1D730D3C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开户银行：</w:t>
            </w:r>
          </w:p>
        </w:tc>
      </w:tr>
      <w:tr w14:paraId="1F06F4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4958" w:type="dxa"/>
            <w:vAlign w:val="center"/>
          </w:tcPr>
          <w:p w14:paraId="4B4784E1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账号:</w:t>
            </w:r>
          </w:p>
        </w:tc>
        <w:tc>
          <w:tcPr>
            <w:tcW w:w="4961" w:type="dxa"/>
            <w:vAlign w:val="center"/>
          </w:tcPr>
          <w:p w14:paraId="09054CC8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账号:</w:t>
            </w:r>
          </w:p>
        </w:tc>
      </w:tr>
      <w:tr w14:paraId="6FF5B7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4958" w:type="dxa"/>
            <w:vAlign w:val="center"/>
          </w:tcPr>
          <w:p w14:paraId="04990C61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日期：       年   月   日</w:t>
            </w:r>
          </w:p>
        </w:tc>
        <w:tc>
          <w:tcPr>
            <w:tcW w:w="4961" w:type="dxa"/>
            <w:vAlign w:val="center"/>
          </w:tcPr>
          <w:p w14:paraId="0B08186A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日期：      年   月   日</w:t>
            </w:r>
          </w:p>
        </w:tc>
      </w:tr>
    </w:tbl>
    <w:p w14:paraId="0D0DC024">
      <w:pPr>
        <w:keepNext w:val="0"/>
        <w:keepLines w:val="0"/>
        <w:pageBreakBefore w:val="0"/>
        <w:kinsoku/>
        <w:wordWrap/>
        <w:overflowPunct w:val="0"/>
        <w:topLinePunct w:val="0"/>
        <w:autoSpaceDE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（以下无正文）</w:t>
      </w:r>
    </w:p>
    <w:p w14:paraId="0BBA62E7">
      <w:pPr>
        <w:pStyle w:val="5"/>
        <w:rPr>
          <w:rFonts w:hint="eastAsia" w:ascii="仿宋" w:hAnsi="仿宋" w:eastAsia="仿宋" w:cs="仿宋"/>
          <w:color w:val="auto"/>
          <w:highlight w:val="none"/>
          <w:lang w:val="en-US" w:eastAsia="zh-Hans"/>
        </w:rPr>
      </w:pPr>
    </w:p>
    <w:p w14:paraId="54380D2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C92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200" w:firstLineChars="200"/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首行缩进:  2 字符"/>
    <w:basedOn w:val="1"/>
    <w:qFormat/>
    <w:uiPriority w:val="0"/>
    <w:pPr>
      <w:widowControl/>
      <w:spacing w:line="400" w:lineRule="exact"/>
      <w:ind w:firstLine="200" w:firstLineChars="200"/>
    </w:pPr>
    <w:rPr>
      <w:rFonts w:ascii="宋体" w:cs="宋体"/>
      <w:sz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2025-05-09T12:08:25Z</dcterms:created>
  <dc:creator>AOC</dc:creator>
  <cp:lastModifiedBy>凌</cp:lastModifiedBy>
  <dcterms:modified xsi:type="dcterms:W3CDTF">2025-05-09T12:08:35Z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eyJoZGlkIjoiMTZjNDlmM2QzMTViZjMwZWM3Nzk0MDBmZjBiYWQwYzMiLCJ1c2VySWQiOiIxMDc1NTQ0OTI4In0=</vt:lpwstr>
  </property>
  <property fmtid="{D5CDD505-2E9C-101B-9397-08002B2CF9AE}" pid="4" name="ICV">
    <vt:lpwstr>8AF00ECC32C24C4195CEA62AB225F0B9_12</vt:lpwstr>
  </property>
</Properties>
</file>