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版本号：SXLX25-02-012Z(H)20250508001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警务移动终端采购项目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SXLX25-02-012Z(H)</w:t>
      </w:r>
      <w:r>
        <w:br/>
      </w:r>
      <w:r>
        <w:br/>
      </w:r>
      <w:r>
        <w:br/>
      </w:r>
    </w:p>
    <w:p>
      <w:pPr>
        <w:pStyle w:val="null3"/>
        <w:jc w:val="center"/>
        <w:outlineLvl w:val="2"/>
      </w:pPr>
      <w:r>
        <w:rPr>
          <w:rFonts w:ascii="仿宋_GB2312" w:hAnsi="仿宋_GB2312" w:cs="仿宋_GB2312" w:eastAsia="仿宋_GB2312"/>
          <w:sz w:val="28"/>
          <w:b/>
        </w:rPr>
        <w:t>陕西省女强制隔离戒毒所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陕西省女强制隔离戒毒所</w:t>
      </w:r>
      <w:r>
        <w:rPr>
          <w:rFonts w:ascii="仿宋_GB2312" w:hAnsi="仿宋_GB2312" w:cs="仿宋_GB2312" w:eastAsia="仿宋_GB2312"/>
        </w:rPr>
        <w:t>委托，拟对</w:t>
      </w:r>
      <w:r>
        <w:rPr>
          <w:rFonts w:ascii="仿宋_GB2312" w:hAnsi="仿宋_GB2312" w:cs="仿宋_GB2312" w:eastAsia="仿宋_GB2312"/>
        </w:rPr>
        <w:t>警务移动终端采购项目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SXLX25-02-012Z(H)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警务移动终端采购项目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本项目为陕西省女强制隔离戒毒所警务移动终端采购项目，为实现移动执法执勤、办公的目的，现对警务移动终端设备进行采购，具体内容详见第三章技术要求。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陕西省女强制隔离戒毒所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西安市长安区引镇街道西堡村对面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郭澔宇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18992202786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魏晴霏、王小琼、任甜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029-88489979-8205/13630224735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采购包1：422,500.00元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开户名称：陕西隆信项目管理有限公司</w:t>
            </w:r>
          </w:p>
          <w:p>
            <w:pPr>
              <w:pStyle w:val="null3"/>
            </w:pPr>
            <w:r>
              <w:rPr>
                <w:rFonts w:ascii="仿宋_GB2312" w:hAnsi="仿宋_GB2312" w:cs="仿宋_GB2312" w:eastAsia="仿宋_GB2312"/>
              </w:rPr>
              <w:t>开户银行：招商银行股份有限公司西安大寨路支行</w:t>
            </w:r>
          </w:p>
          <w:p>
            <w:pPr>
              <w:pStyle w:val="null3"/>
            </w:pPr>
            <w:r>
              <w:rPr>
                <w:rFonts w:ascii="仿宋_GB2312" w:hAnsi="仿宋_GB2312" w:cs="仿宋_GB2312" w:eastAsia="仿宋_GB2312"/>
              </w:rPr>
              <w:t>银行账号：1299 0406 4810 808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展改革委关于进一步放开建设项目专业服务价格的通知》（发改价格〔2015〕299号）文件规定标准计算收取；本项目采购代理服务费不足捌仟按照捌仟收取，具体收费金额将在成交公告中公布。请将采购代理服务费汇至下列指定账户： 开户名称：陕西隆信项目管理有限公司 开 户 行：招商银行股份有限公司西安土门支行 账 号：129904064810902 财务部电话：029-88489979-8501 注：采购代理服务费计入投标报价中，但不需要单独列项。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陕西省女强制隔离戒毒所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陕西省女强制隔离戒毒所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陕西省女强制隔离戒毒所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产品）数量、型号、技术指标及配置等全部按招标文件、投标文件及澄清函等进行验收。各项指标均应符合要求，若所验设备（产品）的指标、性能参数通过验收达不到要求，或在使用中发现采购人不能容忍的缺陷等，将视为设备（产品）验收不合格，中标人应免费更换或退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联系人：魏晴霏、王小琼、任甜</w:t>
      </w:r>
    </w:p>
    <w:p>
      <w:pPr>
        <w:pStyle w:val="null3"/>
      </w:pPr>
      <w:r>
        <w:rPr>
          <w:rFonts w:ascii="仿宋_GB2312" w:hAnsi="仿宋_GB2312" w:cs="仿宋_GB2312" w:eastAsia="仿宋_GB2312"/>
        </w:rPr>
        <w:t>联系电话：029-88489979-8205</w:t>
      </w:r>
    </w:p>
    <w:p>
      <w:pPr>
        <w:pStyle w:val="null3"/>
      </w:pPr>
      <w:r>
        <w:rPr>
          <w:rFonts w:ascii="仿宋_GB2312" w:hAnsi="仿宋_GB2312" w:cs="仿宋_GB2312" w:eastAsia="仿宋_GB2312"/>
        </w:rPr>
        <w:t>地址：陕西省西安市雁塔区雁翔路111号赛格·中京坊6幢1单元2层10201室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本项目为陕西省女强制隔离戒毒所警务移动终端采购项目，为实现移动执法执勤、办公的目的，现对警务移动终端设备进行采购。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422,500.00</w:t>
      </w:r>
    </w:p>
    <w:p>
      <w:pPr>
        <w:pStyle w:val="null3"/>
      </w:pPr>
      <w:r>
        <w:rPr>
          <w:rFonts w:ascii="仿宋_GB2312" w:hAnsi="仿宋_GB2312" w:cs="仿宋_GB2312" w:eastAsia="仿宋_GB2312"/>
        </w:rPr>
        <w:t>采购包最高限价（元）: 422,500.00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警务移动终端采购项目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422,500.00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标的名称：警务移动终端采购项目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一、项目概况</w:t>
            </w:r>
          </w:p>
          <w:p>
            <w:pPr>
              <w:pStyle w:val="null3"/>
              <w:ind w:firstLine="480"/>
            </w:pPr>
            <w:r>
              <w:rPr>
                <w:rFonts w:ascii="仿宋_GB2312" w:hAnsi="仿宋_GB2312" w:cs="仿宋_GB2312" w:eastAsia="仿宋_GB2312"/>
                <w:sz w:val="21"/>
              </w:rPr>
              <w:t>本项目为陕西省女强制隔离戒毒所警务移动终端采购项目，为实现移动执法执勤、办公的目的</w:t>
            </w:r>
            <w:r>
              <w:rPr>
                <w:rFonts w:ascii="仿宋_GB2312" w:hAnsi="仿宋_GB2312" w:cs="仿宋_GB2312" w:eastAsia="仿宋_GB2312"/>
                <w:sz w:val="21"/>
              </w:rPr>
              <w:t>，现对警务移动终端设备进行采购。</w:t>
            </w:r>
          </w:p>
          <w:p>
            <w:pPr>
              <w:pStyle w:val="null3"/>
              <w:jc w:val="both"/>
            </w:pPr>
            <w:r>
              <w:rPr>
                <w:rFonts w:ascii="仿宋_GB2312" w:hAnsi="仿宋_GB2312" w:cs="仿宋_GB2312" w:eastAsia="仿宋_GB2312"/>
                <w:sz w:val="21"/>
                <w:b/>
              </w:rPr>
              <w:t>本项目行业属性为</w:t>
            </w:r>
            <w:r>
              <w:rPr>
                <w:rFonts w:ascii="仿宋_GB2312" w:hAnsi="仿宋_GB2312" w:cs="仿宋_GB2312" w:eastAsia="仿宋_GB2312"/>
                <w:sz w:val="21"/>
                <w:b/>
              </w:rPr>
              <w:t>：</w:t>
            </w:r>
            <w:r>
              <w:rPr>
                <w:rFonts w:ascii="仿宋_GB2312" w:hAnsi="仿宋_GB2312" w:cs="仿宋_GB2312" w:eastAsia="仿宋_GB2312"/>
                <w:sz w:val="21"/>
                <w:u w:val="single"/>
              </w:rPr>
              <w:t>工业</w:t>
            </w:r>
            <w:r>
              <w:rPr>
                <w:rFonts w:ascii="仿宋_GB2312" w:hAnsi="仿宋_GB2312" w:cs="仿宋_GB2312" w:eastAsia="仿宋_GB2312"/>
                <w:sz w:val="21"/>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采购内容</w:t>
            </w:r>
          </w:p>
          <w:p>
            <w:pPr>
              <w:pStyle w:val="null3"/>
              <w:ind w:firstLine="420"/>
              <w:jc w:val="both"/>
            </w:pPr>
            <w:r>
              <w:rPr>
                <w:rFonts w:ascii="仿宋_GB2312" w:hAnsi="仿宋_GB2312" w:cs="仿宋_GB2312" w:eastAsia="仿宋_GB2312"/>
                <w:sz w:val="21"/>
              </w:rPr>
              <w:t>详见附表：货物技术要求一览表</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技术要求</w:t>
            </w:r>
          </w:p>
          <w:p>
            <w:pPr>
              <w:pStyle w:val="null3"/>
              <w:ind w:firstLine="420"/>
              <w:jc w:val="both"/>
            </w:pPr>
            <w:r>
              <w:rPr>
                <w:rFonts w:ascii="仿宋_GB2312" w:hAnsi="仿宋_GB2312" w:cs="仿宋_GB2312" w:eastAsia="仿宋_GB2312"/>
                <w:sz w:val="21"/>
              </w:rPr>
              <w:t>1、核心产品名称：</w:t>
            </w:r>
            <w:r>
              <w:rPr>
                <w:rFonts w:ascii="仿宋_GB2312" w:hAnsi="仿宋_GB2312" w:cs="仿宋_GB2312" w:eastAsia="仿宋_GB2312"/>
                <w:sz w:val="21"/>
                <w:u w:val="single"/>
              </w:rPr>
              <w:t>移动警务终端设备</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、下列产品为强制采购的节能产品：</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、质量要求</w:t>
            </w:r>
          </w:p>
          <w:p>
            <w:pPr>
              <w:pStyle w:val="null3"/>
              <w:jc w:val="both"/>
            </w:pPr>
            <w:r>
              <w:rPr>
                <w:rFonts w:ascii="仿宋_GB2312" w:hAnsi="仿宋_GB2312" w:cs="仿宋_GB2312" w:eastAsia="仿宋_GB2312"/>
                <w:sz w:val="21"/>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、安全要求</w:t>
            </w:r>
          </w:p>
          <w:p>
            <w:pPr>
              <w:pStyle w:val="null3"/>
              <w:jc w:val="both"/>
            </w:pPr>
            <w:r>
              <w:rPr>
                <w:rFonts w:ascii="仿宋_GB2312" w:hAnsi="仿宋_GB2312" w:cs="仿宋_GB2312" w:eastAsia="仿宋_GB2312"/>
                <w:sz w:val="21"/>
              </w:rPr>
              <w:t>认真贯彻执行国家及省有关安全文明生产的法律法规规章和强制性标准、安全操作规程等，建立健全安装现场安全文明生产保证体系，落实各项具体措施，切实履行安全文明生产责任和义务，保护职工身体健康和生命安全，以及社会公众安全，保护环境卫生，保持安装现场整齐有序，做到文明</w:t>
            </w:r>
            <w:r>
              <w:rPr>
                <w:rFonts w:ascii="仿宋_GB2312" w:hAnsi="仿宋_GB2312" w:cs="仿宋_GB2312" w:eastAsia="仿宋_GB2312"/>
                <w:sz w:val="21"/>
              </w:rPr>
              <w:t>供货</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四、商务要求</w:t>
            </w:r>
          </w:p>
          <w:p>
            <w:pPr>
              <w:pStyle w:val="null3"/>
              <w:ind w:firstLine="420"/>
              <w:jc w:val="both"/>
            </w:pPr>
            <w:r>
              <w:rPr>
                <w:rFonts w:ascii="仿宋_GB2312" w:hAnsi="仿宋_GB2312" w:cs="仿宋_GB2312" w:eastAsia="仿宋_GB2312"/>
                <w:sz w:val="21"/>
              </w:rPr>
              <w:t>1、售后服务要求：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投标人</w:t>
            </w:r>
            <w:r>
              <w:rPr>
                <w:rFonts w:ascii="仿宋_GB2312" w:hAnsi="仿宋_GB2312" w:cs="仿宋_GB2312" w:eastAsia="仿宋_GB2312"/>
                <w:sz w:val="21"/>
              </w:rPr>
              <w:t>须指派专人负责与采购人联系售后服务事宜；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投标人</w:t>
            </w:r>
            <w:r>
              <w:rPr>
                <w:rFonts w:ascii="仿宋_GB2312" w:hAnsi="仿宋_GB2312" w:cs="仿宋_GB2312" w:eastAsia="仿宋_GB2312"/>
                <w:sz w:val="21"/>
              </w:rPr>
              <w:t>负责货物（硬件和软件）的现场安装、调试、测试和启动等；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投标人</w:t>
            </w:r>
            <w:r>
              <w:rPr>
                <w:rFonts w:ascii="仿宋_GB2312" w:hAnsi="仿宋_GB2312" w:cs="仿宋_GB2312" w:eastAsia="仿宋_GB2312"/>
                <w:sz w:val="21"/>
              </w:rPr>
              <w:t>负责货物（硬件和软件）的安装、启动、运行及维护等对使用人员进行免费培训：培训主要内容为货物（硬件和软件）的基本结构、性能、主要部件的构造及原理，日常使用操作、维护与管理，常见故障的排除、紧急情况的处理等，如使用方未使用过同类型货物（硬件和软件），</w:t>
            </w:r>
            <w:r>
              <w:rPr>
                <w:rFonts w:ascii="仿宋_GB2312" w:hAnsi="仿宋_GB2312" w:cs="仿宋_GB2312" w:eastAsia="仿宋_GB2312"/>
                <w:sz w:val="21"/>
              </w:rPr>
              <w:t>投标人</w:t>
            </w:r>
            <w:r>
              <w:rPr>
                <w:rFonts w:ascii="仿宋_GB2312" w:hAnsi="仿宋_GB2312" w:cs="仿宋_GB2312" w:eastAsia="仿宋_GB2312"/>
                <w:sz w:val="21"/>
              </w:rPr>
              <w:t>还需就货物（硬件和软件）的功能对使用方人员进行相应的技术培训，培训地点为货物安装现场或由采购人安排；</w:t>
            </w:r>
          </w:p>
          <w:p>
            <w:pPr>
              <w:pStyle w:val="null3"/>
              <w:ind w:firstLine="420"/>
              <w:jc w:val="both"/>
            </w:pPr>
            <w:r>
              <w:rPr>
                <w:rFonts w:ascii="仿宋_GB2312" w:hAnsi="仿宋_GB2312" w:cs="仿宋_GB2312" w:eastAsia="仿宋_GB2312"/>
                <w:sz w:val="21"/>
              </w:rPr>
              <w:t>（4）质保期自采购人在质量验收单（终验）上签字之日起计算，质保费用计入总价；</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负责对其提供的货物（硬件和软件）整体进行维修和</w:t>
            </w:r>
            <w:r>
              <w:rPr>
                <w:rFonts w:ascii="仿宋_GB2312" w:hAnsi="仿宋_GB2312" w:cs="仿宋_GB2312" w:eastAsia="仿宋_GB2312"/>
                <w:sz w:val="21"/>
              </w:rPr>
              <w:t>设备</w:t>
            </w:r>
            <w:r>
              <w:rPr>
                <w:rFonts w:ascii="仿宋_GB2312" w:hAnsi="仿宋_GB2312" w:cs="仿宋_GB2312" w:eastAsia="仿宋_GB2312"/>
                <w:sz w:val="21"/>
              </w:rPr>
              <w:t>维护，质保期内应无偿负责的维修和替换等工作，不再收取任何费用，但不可抗力（如火灾、雷击等）造成的故障除外；超出质保期只收取维修所需原设备、材料成本费用。</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投标人</w:t>
            </w:r>
            <w:r>
              <w:rPr>
                <w:rFonts w:ascii="仿宋_GB2312" w:hAnsi="仿宋_GB2312" w:cs="仿宋_GB2312" w:eastAsia="仿宋_GB2312"/>
                <w:sz w:val="21"/>
              </w:rPr>
              <w:t>对其所提供软硬件设备、材料等负责备品配件的供应,长期提供维修服务，并提供技术咨询等服务，所有维修记录交用户的现场技术人员一份，并详细说明问题所在、解决办法及注意事项。</w:t>
            </w:r>
          </w:p>
          <w:p>
            <w:pPr>
              <w:pStyle w:val="null3"/>
              <w:ind w:firstLine="420"/>
              <w:jc w:val="both"/>
            </w:pPr>
            <w:r>
              <w:rPr>
                <w:rFonts w:ascii="仿宋_GB2312" w:hAnsi="仿宋_GB2312" w:cs="仿宋_GB2312" w:eastAsia="仿宋_GB2312"/>
                <w:sz w:val="21"/>
              </w:rPr>
              <w:t>（7）货物（硬件和软件）故障报修的响应时间为：</w:t>
            </w:r>
            <w:r>
              <w:rPr>
                <w:rFonts w:ascii="仿宋_GB2312" w:hAnsi="仿宋_GB2312" w:cs="仿宋_GB2312" w:eastAsia="仿宋_GB2312"/>
                <w:sz w:val="21"/>
              </w:rPr>
              <w:t>12</w:t>
            </w:r>
            <w:r>
              <w:rPr>
                <w:rFonts w:ascii="仿宋_GB2312" w:hAnsi="仿宋_GB2312" w:cs="仿宋_GB2312" w:eastAsia="仿宋_GB2312"/>
                <w:sz w:val="21"/>
              </w:rPr>
              <w:t>小时</w:t>
            </w:r>
            <w:r>
              <w:rPr>
                <w:rFonts w:ascii="仿宋_GB2312" w:hAnsi="仿宋_GB2312" w:cs="仿宋_GB2312" w:eastAsia="仿宋_GB2312"/>
                <w:sz w:val="21"/>
              </w:rPr>
              <w:t>内响应</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（8）所有货物（硬件和软件）</w:t>
            </w:r>
            <w:r>
              <w:rPr>
                <w:rFonts w:ascii="仿宋_GB2312" w:hAnsi="仿宋_GB2312" w:cs="仿宋_GB2312" w:eastAsia="仿宋_GB2312"/>
                <w:sz w:val="21"/>
              </w:rPr>
              <w:t>的</w:t>
            </w:r>
            <w:r>
              <w:rPr>
                <w:rFonts w:ascii="仿宋_GB2312" w:hAnsi="仿宋_GB2312" w:cs="仿宋_GB2312" w:eastAsia="仿宋_GB2312"/>
                <w:sz w:val="21"/>
              </w:rPr>
              <w:t>服务产生的一切费用均由</w:t>
            </w:r>
            <w:r>
              <w:rPr>
                <w:rFonts w:ascii="仿宋_GB2312" w:hAnsi="仿宋_GB2312" w:cs="仿宋_GB2312" w:eastAsia="仿宋_GB2312"/>
                <w:sz w:val="21"/>
              </w:rPr>
              <w:t>投标人</w:t>
            </w:r>
            <w:r>
              <w:rPr>
                <w:rFonts w:ascii="仿宋_GB2312" w:hAnsi="仿宋_GB2312" w:cs="仿宋_GB2312" w:eastAsia="仿宋_GB2312"/>
                <w:sz w:val="21"/>
              </w:rPr>
              <w:t>承担；</w:t>
            </w:r>
          </w:p>
          <w:p>
            <w:pPr>
              <w:pStyle w:val="null3"/>
              <w:ind w:firstLine="420"/>
              <w:jc w:val="both"/>
            </w:pPr>
            <w:r>
              <w:rPr>
                <w:rFonts w:ascii="仿宋_GB2312" w:hAnsi="仿宋_GB2312" w:cs="仿宋_GB2312" w:eastAsia="仿宋_GB2312"/>
                <w:sz w:val="21"/>
              </w:rPr>
              <w:t>（9）在保修期内更换</w:t>
            </w:r>
            <w:r>
              <w:rPr>
                <w:rFonts w:ascii="仿宋_GB2312" w:hAnsi="仿宋_GB2312" w:cs="仿宋_GB2312" w:eastAsia="仿宋_GB2312"/>
                <w:sz w:val="21"/>
              </w:rPr>
              <w:t>设备</w:t>
            </w:r>
            <w:r>
              <w:rPr>
                <w:rFonts w:ascii="仿宋_GB2312" w:hAnsi="仿宋_GB2312" w:cs="仿宋_GB2312" w:eastAsia="仿宋_GB2312"/>
                <w:sz w:val="21"/>
              </w:rPr>
              <w:t>中部件（软件和硬件），其保修期应相应延长；</w:t>
            </w:r>
          </w:p>
          <w:p>
            <w:pPr>
              <w:pStyle w:val="null3"/>
              <w:ind w:firstLine="420"/>
              <w:jc w:val="both"/>
            </w:pPr>
            <w:r>
              <w:rPr>
                <w:rFonts w:ascii="仿宋_GB2312" w:hAnsi="仿宋_GB2312" w:cs="仿宋_GB2312" w:eastAsia="仿宋_GB2312"/>
                <w:sz w:val="21"/>
              </w:rPr>
              <w:t>（10）质保期结束后的维修、维护等由双方协商再定。</w:t>
            </w:r>
          </w:p>
          <w:p>
            <w:pPr>
              <w:pStyle w:val="null3"/>
              <w:ind w:firstLine="420"/>
              <w:jc w:val="both"/>
            </w:pPr>
            <w:r>
              <w:rPr>
                <w:rFonts w:ascii="仿宋_GB2312" w:hAnsi="仿宋_GB2312" w:cs="仿宋_GB2312" w:eastAsia="仿宋_GB2312"/>
                <w:sz w:val="21"/>
              </w:rPr>
              <w:t>2、“三包”要求：货物（产品）属于国家规定的“三包产品”，产品制造商、经销代理商应遵守“三包”的规定，在产品发生质量问题时，及时对所提供产品实行“包退、包换、保修”服务。</w:t>
            </w:r>
          </w:p>
          <w:p>
            <w:pPr>
              <w:pStyle w:val="null3"/>
              <w:ind w:firstLine="420"/>
              <w:jc w:val="both"/>
            </w:pPr>
            <w:r>
              <w:rPr>
                <w:rFonts w:ascii="仿宋_GB2312" w:hAnsi="仿宋_GB2312" w:cs="仿宋_GB2312" w:eastAsia="仿宋_GB2312"/>
                <w:sz w:val="21"/>
              </w:rPr>
              <w:t>3、电子电器产品服务要求：货物（产品）属于电子电器的，产品制造商、经销代理商应按照《政府采购电子电器服务规范》（GB/T33496-2017）的要求提供服务。</w:t>
            </w:r>
          </w:p>
          <w:p>
            <w:pPr>
              <w:pStyle w:val="null3"/>
              <w:ind w:firstLine="420"/>
              <w:jc w:val="both"/>
            </w:pPr>
            <w:r>
              <w:rPr>
                <w:rFonts w:ascii="仿宋_GB2312" w:hAnsi="仿宋_GB2312" w:cs="仿宋_GB2312" w:eastAsia="仿宋_GB2312"/>
                <w:sz w:val="21"/>
              </w:rPr>
              <w:t>附表：货物技术要求一览表</w:t>
            </w:r>
          </w:p>
          <w:p>
            <w:pPr>
              <w:pStyle w:val="null3"/>
              <w:jc w:val="center"/>
            </w:pPr>
            <w:r>
              <w:rPr>
                <w:rFonts w:ascii="仿宋_GB2312" w:hAnsi="仿宋_GB2312" w:cs="仿宋_GB2312" w:eastAsia="仿宋_GB2312"/>
                <w:sz w:val="21"/>
                <w:b/>
              </w:rPr>
              <w:t>移动警务终端设备</w:t>
            </w:r>
          </w:p>
          <w:tbl>
            <w:tblPr>
              <w:tblBorders>
                <w:top w:val="none" w:color="000000" w:sz="4"/>
                <w:left w:val="none" w:color="000000" w:sz="4"/>
                <w:bottom w:val="none" w:color="000000" w:sz="4"/>
                <w:right w:val="none" w:color="000000" w:sz="4"/>
                <w:insideH w:val="none"/>
                <w:insideV w:val="none"/>
              </w:tblBorders>
            </w:tblPr>
            <w:tblGrid>
              <w:gridCol w:w="526"/>
              <w:gridCol w:w="2262"/>
              <w:gridCol w:w="396"/>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w:t>
                  </w:r>
                  <w:r>
                    <w:rPr>
                      <w:rFonts w:ascii="仿宋_GB2312" w:hAnsi="仿宋_GB2312" w:cs="仿宋_GB2312" w:eastAsia="仿宋_GB2312"/>
                      <w:sz w:val="21"/>
                    </w:rPr>
                    <w:t>名称</w:t>
                  </w:r>
                </w:p>
              </w:tc>
              <w:tc>
                <w:tcPr>
                  <w:tcW w:type="dxa" w:w="2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采购设备内容要求</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移动警务终端设备</w:t>
                  </w:r>
                </w:p>
              </w:tc>
              <w:tc>
                <w:tcPr>
                  <w:tcW w:type="dxa" w:w="2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操作系统：支持国产系统</w:t>
                  </w:r>
                </w:p>
                <w:p>
                  <w:pPr>
                    <w:pStyle w:val="null3"/>
                    <w:jc w:val="both"/>
                  </w:pPr>
                  <w:r>
                    <w:rPr>
                      <w:rFonts w:ascii="仿宋_GB2312" w:hAnsi="仿宋_GB2312" w:cs="仿宋_GB2312" w:eastAsia="仿宋_GB2312"/>
                      <w:sz w:val="21"/>
                    </w:rPr>
                    <w:t>CPU主频：国产，CPU核数≥8核</w:t>
                  </w:r>
                </w:p>
                <w:p>
                  <w:pPr>
                    <w:pStyle w:val="null3"/>
                    <w:jc w:val="both"/>
                  </w:pPr>
                  <w:r>
                    <w:rPr>
                      <w:rFonts w:ascii="仿宋_GB2312" w:hAnsi="仿宋_GB2312" w:cs="仿宋_GB2312" w:eastAsia="仿宋_GB2312"/>
                      <w:sz w:val="21"/>
                    </w:rPr>
                    <w:t>屏幕尺寸（英寸）：≥6.76</w:t>
                  </w:r>
                </w:p>
                <w:p>
                  <w:pPr>
                    <w:pStyle w:val="null3"/>
                    <w:jc w:val="both"/>
                  </w:pPr>
                  <w:r>
                    <w:rPr>
                      <w:rFonts w:ascii="仿宋_GB2312" w:hAnsi="仿宋_GB2312" w:cs="仿宋_GB2312" w:eastAsia="仿宋_GB2312"/>
                      <w:sz w:val="21"/>
                    </w:rPr>
                    <w:t>屏幕分辨率：≥2776*1224</w:t>
                  </w:r>
                </w:p>
                <w:p>
                  <w:pPr>
                    <w:pStyle w:val="null3"/>
                    <w:jc w:val="both"/>
                  </w:pPr>
                  <w:r>
                    <w:rPr>
                      <w:rFonts w:ascii="仿宋_GB2312" w:hAnsi="仿宋_GB2312" w:cs="仿宋_GB2312" w:eastAsia="仿宋_GB2312"/>
                      <w:sz w:val="21"/>
                    </w:rPr>
                    <w:t>屏幕材质：OLED</w:t>
                  </w:r>
                </w:p>
                <w:p>
                  <w:pPr>
                    <w:pStyle w:val="null3"/>
                    <w:jc w:val="both"/>
                  </w:pPr>
                  <w:r>
                    <w:rPr>
                      <w:rFonts w:ascii="仿宋_GB2312" w:hAnsi="仿宋_GB2312" w:cs="仿宋_GB2312" w:eastAsia="仿宋_GB2312"/>
                      <w:sz w:val="21"/>
                    </w:rPr>
                    <w:t>电池容量（mAH）:≥5000</w:t>
                  </w:r>
                </w:p>
                <w:p>
                  <w:pPr>
                    <w:pStyle w:val="null3"/>
                    <w:jc w:val="both"/>
                  </w:pPr>
                  <w:r>
                    <w:rPr>
                      <w:rFonts w:ascii="仿宋_GB2312" w:hAnsi="仿宋_GB2312" w:cs="仿宋_GB2312" w:eastAsia="仿宋_GB2312"/>
                      <w:sz w:val="21"/>
                    </w:rPr>
                    <w:t>后置摄像头参数：主摄像头不低于5000万像素</w:t>
                  </w:r>
                </w:p>
                <w:p>
                  <w:pPr>
                    <w:pStyle w:val="null3"/>
                    <w:jc w:val="both"/>
                  </w:pPr>
                  <w:r>
                    <w:rPr>
                      <w:rFonts w:ascii="仿宋_GB2312" w:hAnsi="仿宋_GB2312" w:cs="仿宋_GB2312" w:eastAsia="仿宋_GB2312"/>
                      <w:sz w:val="21"/>
                    </w:rPr>
                    <w:t>长焦不低于1200万像素</w:t>
                  </w:r>
                </w:p>
                <w:p>
                  <w:pPr>
                    <w:pStyle w:val="null3"/>
                    <w:jc w:val="both"/>
                  </w:pPr>
                  <w:r>
                    <w:rPr>
                      <w:rFonts w:ascii="仿宋_GB2312" w:hAnsi="仿宋_GB2312" w:cs="仿宋_GB2312" w:eastAsia="仿宋_GB2312"/>
                      <w:sz w:val="21"/>
                    </w:rPr>
                    <w:t>超广角不低于800万像素</w:t>
                  </w:r>
                </w:p>
                <w:p>
                  <w:pPr>
                    <w:pStyle w:val="null3"/>
                    <w:jc w:val="both"/>
                  </w:pPr>
                  <w:r>
                    <w:rPr>
                      <w:rFonts w:ascii="仿宋_GB2312" w:hAnsi="仿宋_GB2312" w:cs="仿宋_GB2312" w:eastAsia="仿宋_GB2312"/>
                      <w:sz w:val="21"/>
                    </w:rPr>
                    <w:t>重量(g)：≤209</w:t>
                  </w:r>
                </w:p>
                <w:p>
                  <w:pPr>
                    <w:pStyle w:val="null3"/>
                    <w:jc w:val="both"/>
                  </w:pPr>
                  <w:r>
                    <w:rPr>
                      <w:rFonts w:ascii="仿宋_GB2312" w:hAnsi="仿宋_GB2312" w:cs="仿宋_GB2312" w:eastAsia="仿宋_GB2312"/>
                      <w:sz w:val="21"/>
                    </w:rPr>
                    <w:t>其他：双卡双待；100W有线快充；支持防尘抗水（IP65）</w:t>
                  </w:r>
                </w:p>
                <w:p>
                  <w:pPr>
                    <w:pStyle w:val="null3"/>
                    <w:jc w:val="both"/>
                  </w:pPr>
                  <w:r>
                    <w:rPr>
                      <w:rFonts w:ascii="仿宋_GB2312" w:hAnsi="仿宋_GB2312" w:cs="仿宋_GB2312" w:eastAsia="仿宋_GB2312"/>
                      <w:sz w:val="21"/>
                    </w:rPr>
                    <w:t>存储：≥512GB</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r>
          </w:tbl>
          <w:p>
            <w:pPr>
              <w:pStyle w:val="null3"/>
              <w:spacing w:before="255" w:after="255"/>
              <w:jc w:val="center"/>
              <w:outlineLvl w:val="1"/>
            </w:pPr>
            <w:r>
              <w:rPr>
                <w:rFonts w:ascii="仿宋_GB2312" w:hAnsi="仿宋_GB2312" w:cs="仿宋_GB2312" w:eastAsia="仿宋_GB2312"/>
                <w:sz w:val="21"/>
                <w:b/>
              </w:rPr>
              <w:t>移动警务终端设备安全加密卡</w:t>
            </w:r>
          </w:p>
          <w:tbl>
            <w:tblPr>
              <w:tblBorders>
                <w:top w:val="none" w:color="000000" w:sz="4"/>
                <w:left w:val="none" w:color="000000" w:sz="4"/>
                <w:bottom w:val="none" w:color="000000" w:sz="4"/>
                <w:right w:val="none" w:color="000000" w:sz="4"/>
                <w:insideH w:val="none"/>
                <w:insideV w:val="none"/>
              </w:tblBorders>
            </w:tblPr>
            <w:tblGrid>
              <w:gridCol w:w="537"/>
              <w:gridCol w:w="2317"/>
              <w:gridCol w:w="326"/>
            </w:tblGrid>
            <w:tr>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2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采购设备内容要求</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安全加密卡</w:t>
                  </w:r>
                </w:p>
              </w:tc>
              <w:tc>
                <w:tcPr>
                  <w:tcW w:type="dxa" w:w="2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基本要求：</w:t>
                  </w:r>
                </w:p>
                <w:p>
                  <w:pPr>
                    <w:pStyle w:val="null3"/>
                    <w:jc w:val="both"/>
                  </w:pPr>
                  <w:r>
                    <w:rPr>
                      <w:rFonts w:ascii="仿宋_GB2312" w:hAnsi="仿宋_GB2312" w:cs="仿宋_GB2312" w:eastAsia="仿宋_GB2312"/>
                      <w:sz w:val="21"/>
                    </w:rPr>
                    <w:t>放置在SIM卡上插入移动警务终端卡槽中，可为移动警务终端提供身份认证和信息加密服务，支持标准SIM卡、Micro SIM卡和Nano SIM卡三种SIM卡类型。</w:t>
                  </w:r>
                </w:p>
                <w:p>
                  <w:pPr>
                    <w:pStyle w:val="null3"/>
                    <w:jc w:val="both"/>
                  </w:pPr>
                  <w:r>
                    <w:rPr>
                      <w:rFonts w:ascii="仿宋_GB2312" w:hAnsi="仿宋_GB2312" w:cs="仿宋_GB2312" w:eastAsia="仿宋_GB2312"/>
                      <w:sz w:val="21"/>
                      <w:b/>
                    </w:rPr>
                    <w:t>性能要求：</w:t>
                  </w:r>
                  <w:r>
                    <w:br/>
                  </w:r>
                  <w:r>
                    <w:rPr>
                      <w:rFonts w:ascii="仿宋_GB2312" w:hAnsi="仿宋_GB2312" w:cs="仿宋_GB2312" w:eastAsia="仿宋_GB2312"/>
                      <w:sz w:val="21"/>
                    </w:rPr>
                    <w:t>1）RSA1024 密钥对生成≤2 秒/对； RSA1024</w:t>
                  </w:r>
                  <w:r>
                    <w:rPr>
                      <w:rFonts w:ascii="仿宋_GB2312" w:hAnsi="仿宋_GB2312" w:cs="仿宋_GB2312" w:eastAsia="仿宋_GB2312"/>
                      <w:sz w:val="21"/>
                    </w:rPr>
                    <w:t>私钥运算</w:t>
                  </w:r>
                  <w:r>
                    <w:rPr>
                      <w:rFonts w:ascii="仿宋_GB2312" w:hAnsi="仿宋_GB2312" w:cs="仿宋_GB2312" w:eastAsia="仿宋_GB2312"/>
                      <w:sz w:val="21"/>
                    </w:rPr>
                    <w:t>≥3次/秒； RSA1024</w:t>
                  </w:r>
                  <w:r>
                    <w:rPr>
                      <w:rFonts w:ascii="仿宋_GB2312" w:hAnsi="仿宋_GB2312" w:cs="仿宋_GB2312" w:eastAsia="仿宋_GB2312"/>
                      <w:sz w:val="21"/>
                    </w:rPr>
                    <w:t>公钥运算</w:t>
                  </w:r>
                  <w:r>
                    <w:rPr>
                      <w:rFonts w:ascii="仿宋_GB2312" w:hAnsi="仿宋_GB2312" w:cs="仿宋_GB2312" w:eastAsia="仿宋_GB2312"/>
                      <w:sz w:val="21"/>
                    </w:rPr>
                    <w:t>≥5次/秒。</w:t>
                  </w:r>
                  <w:r>
                    <w:br/>
                  </w:r>
                  <w:r>
                    <w:rPr>
                      <w:rFonts w:ascii="仿宋_GB2312" w:hAnsi="仿宋_GB2312" w:cs="仿宋_GB2312" w:eastAsia="仿宋_GB2312"/>
                      <w:sz w:val="21"/>
                    </w:rPr>
                    <w:t>2）SM2密钥对生成≤1秒/对； SM2签名≥10次/秒；</w:t>
                  </w:r>
                  <w:r>
                    <w:rPr>
                      <w:rFonts w:ascii="仿宋_GB2312" w:hAnsi="仿宋_GB2312" w:cs="仿宋_GB2312" w:eastAsia="仿宋_GB2312"/>
                      <w:sz w:val="21"/>
                    </w:rPr>
                    <w:t>SM2公钥验签</w:t>
                  </w:r>
                  <w:r>
                    <w:rPr>
                      <w:rFonts w:ascii="仿宋_GB2312" w:hAnsi="仿宋_GB2312" w:cs="仿宋_GB2312" w:eastAsia="仿宋_GB2312"/>
                      <w:sz w:val="21"/>
                    </w:rPr>
                    <w:t>≥9次/秒； SM2加密≥18Kbps； SM2 解密≥5Kbps。</w:t>
                  </w:r>
                  <w:r>
                    <w:br/>
                  </w:r>
                  <w:r>
                    <w:rPr>
                      <w:rFonts w:ascii="仿宋_GB2312" w:hAnsi="仿宋_GB2312" w:cs="仿宋_GB2312" w:eastAsia="仿宋_GB2312"/>
                      <w:sz w:val="21"/>
                    </w:rPr>
                    <w:t>3）SM3 摘要≥290Mbps。</w:t>
                  </w:r>
                  <w:r>
                    <w:br/>
                  </w:r>
                  <w:r>
                    <w:rPr>
                      <w:rFonts w:ascii="仿宋_GB2312" w:hAnsi="仿宋_GB2312" w:cs="仿宋_GB2312" w:eastAsia="仿宋_GB2312"/>
                      <w:sz w:val="21"/>
                    </w:rPr>
                    <w:t>4）SM1 加解密≥8Kbps。</w:t>
                  </w:r>
                  <w:r>
                    <w:br/>
                  </w:r>
                  <w:r>
                    <w:rPr>
                      <w:rFonts w:ascii="仿宋_GB2312" w:hAnsi="仿宋_GB2312" w:cs="仿宋_GB2312" w:eastAsia="仿宋_GB2312"/>
                      <w:sz w:val="21"/>
                    </w:rPr>
                    <w:t>5）SM4 加解密≥270Mbps。</w:t>
                  </w:r>
                  <w:r>
                    <w:br/>
                  </w:r>
                  <w:r>
                    <w:rPr>
                      <w:rFonts w:ascii="仿宋_GB2312" w:hAnsi="仿宋_GB2312" w:cs="仿宋_GB2312" w:eastAsia="仿宋_GB2312"/>
                      <w:sz w:val="21"/>
                      <w:b/>
                    </w:rPr>
                    <w:t>功能要求：</w:t>
                  </w:r>
                  <w:r>
                    <w:br/>
                  </w:r>
                  <w:r>
                    <w:rPr>
                      <w:rFonts w:ascii="仿宋_GB2312" w:hAnsi="仿宋_GB2312" w:cs="仿宋_GB2312" w:eastAsia="仿宋_GB2312"/>
                      <w:sz w:val="21"/>
                    </w:rPr>
                    <w:t>1）提供基于 RSA-1024、 SM2的非对称密码算法的加密、 解密、签名、 验证功能。</w:t>
                  </w:r>
                  <w:r>
                    <w:br/>
                  </w:r>
                  <w:r>
                    <w:rPr>
                      <w:rFonts w:ascii="仿宋_GB2312" w:hAnsi="仿宋_GB2312" w:cs="仿宋_GB2312" w:eastAsia="仿宋_GB2312"/>
                      <w:sz w:val="21"/>
                    </w:rPr>
                    <w:t>2）提供基于 SM1、 SM4 对称密码算法的加密、 解密功能.</w:t>
                  </w:r>
                  <w:r>
                    <w:br/>
                  </w:r>
                  <w:r>
                    <w:rPr>
                      <w:rFonts w:ascii="仿宋_GB2312" w:hAnsi="仿宋_GB2312" w:cs="仿宋_GB2312" w:eastAsia="仿宋_GB2312"/>
                      <w:sz w:val="21"/>
                    </w:rPr>
                    <w:t>3）提供基于SM3 算法的杂凑功能。</w:t>
                  </w:r>
                  <w:r>
                    <w:br/>
                  </w:r>
                  <w:r>
                    <w:rPr>
                      <w:rFonts w:ascii="仿宋_GB2312" w:hAnsi="仿宋_GB2312" w:cs="仿宋_GB2312" w:eastAsia="仿宋_GB2312"/>
                      <w:sz w:val="21"/>
                    </w:rPr>
                    <w:t>4）提供随机数生成功能。</w:t>
                  </w:r>
                </w:p>
                <w:p>
                  <w:pPr>
                    <w:pStyle w:val="null3"/>
                    <w:jc w:val="both"/>
                  </w:pPr>
                  <w:r>
                    <w:rPr>
                      <w:rFonts w:ascii="仿宋_GB2312" w:hAnsi="仿宋_GB2312" w:cs="仿宋_GB2312" w:eastAsia="仿宋_GB2312"/>
                      <w:sz w:val="21"/>
                    </w:rPr>
                    <w:t>5）提供10个容器，可以分配给不同的应用。每个容器可以存放一组签名公私钥对、签名数字证书和一组交换公私钥对、交换数字证书。</w:t>
                  </w:r>
                  <w:r>
                    <w:br/>
                  </w:r>
                  <w:r>
                    <w:rPr>
                      <w:rFonts w:ascii="仿宋_GB2312" w:hAnsi="仿宋_GB2312" w:cs="仿宋_GB2312" w:eastAsia="仿宋_GB2312"/>
                      <w:sz w:val="21"/>
                    </w:rPr>
                    <w:t>6） 提供访问控制、 数据保护等措施， 实现自身的安全防护体系。 这些安全密钥包括口令 PIN、 解锁口令PIN、主控密钥、权限控制密钥、口令维护密钥、数据保护密钥等。</w:t>
                  </w:r>
                  <w:r>
                    <w:br/>
                  </w:r>
                  <w:r>
                    <w:rPr>
                      <w:rFonts w:ascii="仿宋_GB2312" w:hAnsi="仿宋_GB2312" w:cs="仿宋_GB2312" w:eastAsia="仿宋_GB2312"/>
                      <w:sz w:val="21"/>
                    </w:rPr>
                    <w:t>7）提供组合密码服务，如数字签名、签名认证等，为上层应用提供了丰富而简单的密码功能支持。</w:t>
                  </w:r>
                  <w:r>
                    <w:br/>
                  </w:r>
                  <w:r>
                    <w:rPr>
                      <w:rFonts w:ascii="仿宋_GB2312" w:hAnsi="仿宋_GB2312" w:cs="仿宋_GB2312" w:eastAsia="仿宋_GB2312"/>
                      <w:sz w:val="21"/>
                    </w:rPr>
                    <w:t>8）提供安全状态、安全属性、安全机制和身份认证等四个模块的有机结合，保证内部密钥及数据文件的安全、可控。</w:t>
                  </w:r>
                  <w:r>
                    <w:br/>
                  </w:r>
                  <w:r>
                    <w:rPr>
                      <w:rFonts w:ascii="仿宋_GB2312" w:hAnsi="仿宋_GB2312" w:cs="仿宋_GB2312" w:eastAsia="仿宋_GB2312"/>
                      <w:sz w:val="21"/>
                    </w:rPr>
                    <w:t>9）在任何情况下密钥数据均无法读出。密钥的使用、更新严格受 COS 安全体系限制，当满足密钥的使用权限时可在卡内进行相应的密码运算；当满足某条密钥的更改权限时可以修改此密钥。如果没有对应权限则拒绝对密钥的相关操作。</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自合同签订生效之日起10日内完成供货、安装、调试、验收。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签订采购合同后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供货、调试、验收合格后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产品）数量、型号、技术指标及配置等全部按招标文件、投标文件及澄清函等进行验收。各项指标均应符合要求，若所验设备（产品）的指标、性能参数通过验收达不到要求，或在使用中发现采购人不能容忍的缺陷等，将视为设备（产品）验收不合格，中标人应免费更换或退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1、包装要求： 1.1全部货物（产品）均应按照国家、行业规定的标准和保护措施进行包装，该包装应适应于远距离运输、防潮、防震、防锈和防野蛮装卸，以确保货物安全运抵指定地点。 1.2当包装使用塑料、纸质、木材等包装材料时，除应当按照国家、行业规定的包装标准进行包装外，还需按照《商品包装政府采购需求标准（试行）》（财办库[2020]）123号）规定的环保要求进行包装。 1.3当采用快递交货方式时，快递包装除应当按照国家、行业规定的包装标准进行包装外，还需按照《快递包装政府采购需求标准（试行）》（财办库[2020]）123号）规定的环保要求进行包装。 2、运输要求： 2.1投标人负责所有产品的运输，确保采购产品安全、完整到达采购人指定地点。运杂费用包含在合同总价内，包括从产品供应地点所含的运输费、装卸费、仓储费、保险费等。 2.2运输方式由投标人自行选择，但必须保证按期交货所欲采购货物在运输、搬运的过程中，造成采购人损失的，由为采购人免费更换。 2.3采用公路或铁路运输方式，选择风险小、运费低和运距短的运输路线。运杂费一次性包死在总价内，采购人不再额外支付，包括从生产厂家到使用（安装）现场的包装、装载、运输、卸载、现场保管、二次倒运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设备（产品）的质保期不少于12个月；投标人承诺超过招标文件要求的，按其承诺的质保期进行质保，质保期起始时间为终验合格之日。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中标人在领取成交通知书时提供纸质版相应文件2套，应通过专用制作软件直接打印，确保与电子投标文件保持一致，不允许修改和补充。提交地点：陕西省西安市雁塔区雁翔路111号赛格·中京坊6幢1单元2层10201室招标二部。 二、投标人的投标报价包括投标人完成本项目所需直接费、间接费、利润、税金及其他相关的一切费用。包括但不限于：产品费、附件费、工具费、验收费、运输费、保险费、安装费、调试费、技术服务费（含售后）、采购代理服务费、税金、利润及不可预见费等全部费用。 三、投标有效期 1.出现特殊情况需要延长投标有效期的，采购代理机构或采购人可于投标有效期满之前，以书面形式通知所有投标人延长投标有效期。投标人应予书面答复，同意延长的，应相应延长其投标保证金有效期，但不得要求或被允许修改其投标文件；投标人拒绝延长的，其投标文件失效，递交投标保证金的，投标人有权收回其投标保证金。 2.在投标有效期内，投标人撤销投标文件的，应承担招标文件和法律规定的责任。 3.中标人的投标有效期自动延长至合同终止为止。 四、合格投标人少于3家的处理：1.若出现合格投标人少于3家时，采购人应依法重新组织采购活动。 五、分公司独立参与投标时，不能使用总公司的资质或业绩；总公司单独参与投标时，除总公司所投产品为分公司生产的产品外，不能使用分公司的资质或业绩。总公司授权分公司或分支机构参与投标，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（1）投标人的营业执照等证明文件，自然人的身份证明； (2) 法定代表人（单位负责人）参加投标的，提供本人身份证复印件；法定代表人（单位负责人）授权他人参加投标的，提供法定代表人（单位负责人）委托授权书及被授权代表的身份证复印件； （3）税收缴纳证明； （4）社会保障资金缴纳证明； （5）具备履行合同所必需的设备和专业技术能力的证明；（6）参加本次招标前3年内，在经营活动中没有重大违法记录的书面声明。 注：1、根据《中华人民共和国政府采购法》第二十三条规定，采购人应依法对供应商的资格进行审查。经采购人授权，资格审查工作可由资格审查小组完成。 2、资格审查小组，由经采购人授权的采购人代表和采购代理机构工作人员3人及以上单数组成，采购代理机构项目经理担任资格审查小组组长。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 提供2023或2024年度经审计的财务会计报告或其提交响应文件截止时间前3个月内银行出具的资信证明，或相关部门认可的专业担保机构出具的担保函。（以上形式的资料提供任何一种即可）要求：（1）投标人是企业法人的，应提供2023或2024全年度经审计的投标人财务报告，包括“四表一注”即《资产负债表》《利润表》《现金流量表》《所有者权益变动表》及其附注，或者提交响应文件截止时间前3个月内其基本账户开户银行出具的资信证明（附基本存款账户信息），或相关部门认可的专业担保机构出具的担保函。（以上形式的资料提供任何一种即可）（2）投标人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或相关部门认可的专业担保机构出具的担保函。（以上形式的资料提供任何一种即可）（3）投标人成立不到1年（至提交响应文件截止时间）的，提供成立后任意时段的资产负债表，或提交响应文件截止时间前3个月内其基本账户开户银行出具的资信证明（附基本存款账户信息），或相关部门认可的专业担保机构出具的担保函。（以上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商务技术文件.docx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投标文件要求签名或盖章的，应有法定代表人或其授权代表人的签名并加盖公章。</w:t>
            </w:r>
          </w:p>
        </w:tc>
        <w:tc>
          <w:tcPr>
            <w:tcW w:type="dxa" w:w="1661"/>
          </w:tcPr>
          <w:p>
            <w:pPr>
              <w:pStyle w:val="null3"/>
            </w:pPr>
            <w:r>
              <w:rPr>
                <w:rFonts w:ascii="仿宋_GB2312" w:hAnsi="仿宋_GB2312" w:cs="仿宋_GB2312" w:eastAsia="仿宋_GB2312"/>
              </w:rPr>
              <w:t>开标一览表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符合“响应文件格式”的规定（不得因文件排序等非实质性的格式、形式问题限制和影响投标人响应）</w:t>
            </w:r>
          </w:p>
        </w:tc>
        <w:tc>
          <w:tcPr>
            <w:tcW w:type="dxa" w:w="1661"/>
          </w:tcPr>
          <w:p>
            <w:pPr>
              <w:pStyle w:val="null3"/>
            </w:pPr>
            <w:r>
              <w:rPr>
                <w:rFonts w:ascii="仿宋_GB2312" w:hAnsi="仿宋_GB2312" w:cs="仿宋_GB2312" w:eastAsia="仿宋_GB2312"/>
              </w:rPr>
              <w:t>开标一览表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开标一览表 投标函 商务技术文件.docx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有下列情形之一的，视为投标人相互恶意串通投标，投标无效 （1）不同投标人的投标文件由同一单位或者个人编制；（2）不同投标人委托同一单位或者个人办理投标事宜； （3）不同投标人的投标文件载明的项目管理成员为同一人； （4）不同投标人的投标文件异常一致或者投标报价呈规律性差异。</w:t>
            </w:r>
          </w:p>
        </w:tc>
        <w:tc>
          <w:tcPr>
            <w:tcW w:type="dxa" w:w="1661"/>
          </w:tcPr>
          <w:p>
            <w:pPr>
              <w:pStyle w:val="null3"/>
            </w:pPr>
            <w:r>
              <w:rPr>
                <w:rFonts w:ascii="仿宋_GB2312" w:hAnsi="仿宋_GB2312" w:cs="仿宋_GB2312" w:eastAsia="仿宋_GB2312"/>
              </w:rPr>
              <w:t>商务技术文件.docx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投标函 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投标函 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商务技术文件.docx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产品性能稳定，具有良好的使用效果，有完善的产品质量保证措施，安全可靠得10分；产品性能基本稳定，具有较好的使用效果，有较完善的产品质量保证措施，基本安全可靠得6分；产品性能不够稳定，使用效果欠佳，产品质量保证措施不完善，不够安全可靠得3分；未提供或提供的内容与本项目不符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2.产品的技术指标、配置等符合或高于采购要求，操作方便，产品参数均以制造商出具的相应的功能证明材料为依据，包括但不限于原厂印刷的产品说明书、宣传资料、质量证书、产品检测报告、产品合格证、官网和功能截图等。评审依据：内容完整，描述详尽，针对性、可行性强，完全满足项目要求的得10分；内容完整，描述简单，针对性、可行性一般，基本满足项目要求的得6分；内容粗略，描述简单，无针对性、可行性较差，不能满足项目要求的得3分；未提供或提供的内容与本项目不符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3.提供完善的供货配送方案，能保质保量按期供货。评审依据：内容完整，描述详尽，针对性、可行性强，完全满足项目要求的得10分；内容完整，描述简单，针对性、可行性一般，基本满足项目要求的得6分；内容粗略，描述简单，无针对性、可行性较差，不能满足项目要求的得3分；未提供或提供的内容与本项目不符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4.提供的实施方案合理、完整，人员配置合理、分工明确，时间进度安排得当、满足采购要求，配套质量管理、安全管理等各项措施完善。评审依据：内容完整，描述详尽，针对性、可行性强，完全满足项目要求的得10分；内容完整，描述简单，针对性、可行性一般，基本满足项目要求的得6分； 内容粗略，描述简单，无针对性、可行性较差，不能满足项目要求的得3分； 未提供或提供的内容与本项目不符得0分。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5.产品供应渠道正常，检验手续合法有效、无产权纠纷。提供产品渠道来源合法的证明文件（提供销售协议、代理协议、原厂授权、原厂售后服务等）得5分，未提供或提供的内容与本项目不符得0分。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6.产品包装。承诺采用《商品包装政府采购需求标准（试行）》（财办库〔2020〕）123号）或者《快递包装政府采购需求标准（试行）》（财办库〔2020〕）123号）进行产品包装的，得1分，无承诺得0分。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7.节能产品：认定为节能产品的（若项目为单一产品，得1分；若非单一产品，每种产品得0.5分，最高得1分）。注：节能产品、环境标志产品为品目清单中产品并取得认证证书；属于强制采购的产品，不再给予加分。既是节能产品又是环保产品可同时得分，非节能、环保产品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8.环保产品：认定为环保产品的（若项目为单一产品，得1分；若非单一产品，每种产品得0.5分，最高得1分）。注：节能产品、环境标志产品为品目清单中产品并取得认证证书；属于强制采购的产品，不再给予加分。既是节能产品又是环保产品可同时得分，非节能、环保产品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提供投标人2022年1月1日起至今（以合同签订时间为准）的类似业绩，业绩以合同复印件为依据。一个业绩得2分，满分8分。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有详尽的验收、售后服务措施及相关承诺，售后服务条款具体可行，售后服务机构健全，措施完善，具有相应的物力、人力保障，响应及时。评审依据：内容完整，描述详尽，针对性、可行性强，完全满足项目要求的得8分； 内容完整，描述简单，针对性、可行性一般，基本满足项目要求的得5分；内容粗略，描述简单，无针对性、可行性较差，不能满足项目要求的得2分； 未提供或提供的内容与本项目不符得0分。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2.投标人针对本项目在物品运输、送达、配发、调换、残损品补救等方面措施得力，有专业技术人员及辅助人员支持，售后服务及时，措施具体、可行。评审依据：内容完整，描述详尽，针对性、可行性强，完全满足项目要求的得6分；内容完整，描述简单，针对性、可行性一般，基本满足项目要求的得3分；内容粗略，描述简单，无针对性、可行性较差，不能满足项目要求的得1分；未提供或提供的内容与本项目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的价格分，按照《政府采购货物和服务招标投标管理办法》（财政部令第87号）第五十五条和《政府采购促进中小企业发展管理办法》（财库〔2020〕46号）文件的规定，采用低价优先法计算，以本次满足投标文件要求的最低投标评审价为评标基准价，其价格为满分。其他投标人的价格分，统一按照下列公式计算：投标评审价=投标报价×（1-投标报价扣除幅度），投标报价得分=(评标基准价／投标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投标人报价扣除幅度如下：投标人提供的货物全部为小微企业制造的，给予投标报价扣除10%优惠政策，只要有大中型企业制造货物情形的，就不得享受价格扣除优惠政策。</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