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版本号：ZJZBSX-250413-10823（2）20250508001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庆祝中华全国总工会成立100周年陕西工运史展（数字化展厅）(二次)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ZJZBSX-250413-10823（2）</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庆祝中华全国总工会成立100周年陕西工运史展（数字化展厅）(二次)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ZJZBSX-250413-10823（2）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庆祝中华全国总工会成立100周年陕西工运史展（数字化展厅）(二次)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陕西省工人疗养院庆祝中华全国总工会成立100周年陕西工运史展（数字化展厅）项目（二次）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查：（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企业资质：供应商须同时具备电子与智能化工程专业承包二级（含）以上资质和建筑装修装饰工程专业承包二级（含）以上资质，并具有有效的安全生产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李斌斌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17782659090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一、按照招标文件、施工合同约定及国家有关标准执行。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w:t>
      </w:r>
    </w:p>
    <w:p>
      <w:pPr>
        <w:pStyle w:val="null3"/>
      </w:pPr>
      <w:r>
        <w:rPr>
          <w:rFonts w:ascii="仿宋_GB2312" w:hAnsi="仿宋_GB2312" w:cs="仿宋_GB2312" w:eastAsia="仿宋_GB2312"/>
        </w:rPr>
        <w:t>联系电话：87888601-8003</w:t>
      </w:r>
    </w:p>
    <w:p>
      <w:pPr>
        <w:pStyle w:val="null3"/>
      </w:pPr>
      <w:r>
        <w:rPr>
          <w:rFonts w:ascii="仿宋_GB2312" w:hAnsi="仿宋_GB2312" w:cs="仿宋_GB2312" w:eastAsia="仿宋_GB2312"/>
        </w:rPr>
        <w:t>地址：长安北路8B陕西高速大厦16层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1,638,803.08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庆祝中华全国总工会成立100周年陕西工运史展（数字化展厅）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标的名称：庆祝中华全国总工会成立100周年陕西工运史展（数字化展厅）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2303"/>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技术参数与性能指标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一、项目概况</w:t>
                  </w:r>
                </w:p>
                <w:p>
                  <w:pPr>
                    <w:pStyle w:val="null3"/>
                  </w:pPr>
                  <w:r>
                    <w:rPr>
                      <w:rFonts w:ascii="仿宋_GB2312" w:hAnsi="仿宋_GB2312" w:cs="仿宋_GB2312" w:eastAsia="仿宋_GB2312"/>
                      <w:sz w:val="20"/>
                    </w:rPr>
                    <w:t>陕西省工人疗养院工运史馆数字化展厅的建设，以首展《陕西省总工会庆祝中华全国总工会成立</w:t>
                  </w:r>
                  <w:r>
                    <w:rPr>
                      <w:rFonts w:ascii="仿宋_GB2312" w:hAnsi="仿宋_GB2312" w:cs="仿宋_GB2312" w:eastAsia="仿宋_GB2312"/>
                      <w:sz w:val="20"/>
                    </w:rPr>
                    <w:t>100</w:t>
                  </w:r>
                  <w:r>
                    <w:rPr>
                      <w:rFonts w:ascii="仿宋_GB2312" w:hAnsi="仿宋_GB2312" w:cs="仿宋_GB2312" w:eastAsia="仿宋_GB2312"/>
                      <w:sz w:val="20"/>
                    </w:rPr>
                    <w:t>周年》展览内容为核心主题进行策划与设计。在满足全国总工会</w:t>
                  </w:r>
                  <w:r>
                    <w:rPr>
                      <w:rFonts w:ascii="仿宋_GB2312" w:hAnsi="仿宋_GB2312" w:cs="仿宋_GB2312" w:eastAsia="仿宋_GB2312"/>
                      <w:sz w:val="20"/>
                    </w:rPr>
                    <w:t>100</w:t>
                  </w:r>
                  <w:r>
                    <w:rPr>
                      <w:rFonts w:ascii="仿宋_GB2312" w:hAnsi="仿宋_GB2312" w:cs="仿宋_GB2312" w:eastAsia="仿宋_GB2312"/>
                      <w:sz w:val="20"/>
                    </w:rPr>
                    <w:t>年周年展览布展需求的同时，亦能适应后续各类工会宣传及社会展览活动的举办。通过对史馆内多媒体、数字化、智能化的改造，利用当前先进科技手段与展现方式向观众讲述工运史、介绍工会、宣传工会工作。史馆数字化建设在传统展示的基础上，通过数字多媒体实现了信息的传递，与展板相比在展示效果上更为先进，同时也使信息交互变得更加便捷。多媒体的应用为观众提供了更多与展项交流的机会，通过触摸交互或体感互动，便能从展馆中获取到更多有用的信息。数字化史馆建成后，在不进行二次改造投资的基础上，可以灵活多变的为各类型的展览进行布展，对展馆管理与运营而言，具有显著的促进作用。为此，计划对陕西省工人疗养院工运史馆实施数字化建设。在内部装饰方面，将在维持既有硬装结构的前提下进行规划设计，重点考虑满足展览功能需求及后期运营的可持续性，同时结合展览内容，确保在有效控制投资的前提下，最大化利用现有资源。对于设备采购，全面评估其使用价值与成本效益，以保证在满足现阶段使用标准的同时，确保未来三至五年内设备的先进性和不被淘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二、工程内容和施工地点、工期、缺陷责任期、质量保</w:t>
                  </w:r>
                  <w:r>
                    <w:rPr>
                      <w:rFonts w:ascii="仿宋_GB2312" w:hAnsi="仿宋_GB2312" w:cs="仿宋_GB2312" w:eastAsia="仿宋_GB2312"/>
                      <w:sz w:val="20"/>
                      <w:b/>
                    </w:rPr>
                    <w:t>修期</w:t>
                  </w:r>
                </w:p>
                <w:p>
                  <w:pPr>
                    <w:pStyle w:val="null3"/>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工程内容：本次史馆数字化建设包括购置显示设备、多媒体交互设备、史馆装饰，完善附属设施、应用系统的开发等。拟以四部分主题划分展厅空间，根据空间及各主题的不同配置不同尺寸样式的显示屏体与交互设备，并可满足后期更换其他展览的展览需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工程地点：陕西省工人疗养院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工期：</w:t>
                  </w:r>
                  <w:r>
                    <w:rPr>
                      <w:rFonts w:ascii="仿宋_GB2312" w:hAnsi="仿宋_GB2312" w:cs="仿宋_GB2312" w:eastAsia="仿宋_GB2312"/>
                      <w:sz w:val="20"/>
                    </w:rPr>
                    <w:t>自合同签订之日起</w:t>
                  </w:r>
                  <w:r>
                    <w:rPr>
                      <w:rFonts w:ascii="仿宋_GB2312" w:hAnsi="仿宋_GB2312" w:cs="仿宋_GB2312" w:eastAsia="仿宋_GB2312"/>
                      <w:sz w:val="20"/>
                    </w:rPr>
                    <w:t>30</w:t>
                  </w:r>
                  <w:r>
                    <w:rPr>
                      <w:rFonts w:ascii="仿宋_GB2312" w:hAnsi="仿宋_GB2312" w:cs="仿宋_GB2312" w:eastAsia="仿宋_GB2312"/>
                      <w:sz w:val="20"/>
                    </w:rPr>
                    <w:t>个日历日内完成项目建设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w:t>
                  </w:r>
                  <w:r>
                    <w:rPr>
                      <w:rFonts w:ascii="仿宋_GB2312" w:hAnsi="仿宋_GB2312" w:cs="仿宋_GB2312" w:eastAsia="仿宋_GB2312"/>
                      <w:sz w:val="20"/>
                    </w:rPr>
                    <w:t>缺陷责任期</w:t>
                  </w:r>
                  <w:r>
                    <w:rPr>
                      <w:rFonts w:ascii="仿宋_GB2312" w:hAnsi="仿宋_GB2312" w:cs="仿宋_GB2312" w:eastAsia="仿宋_GB2312"/>
                      <w:sz w:val="20"/>
                    </w:rPr>
                    <w:t>：</w:t>
                  </w:r>
                  <w:r>
                    <w:rPr>
                      <w:rFonts w:ascii="仿宋_GB2312" w:hAnsi="仿宋_GB2312" w:cs="仿宋_GB2312" w:eastAsia="仿宋_GB2312"/>
                      <w:sz w:val="20"/>
                    </w:rPr>
                    <w:t>本工程缺陷责任期为</w:t>
                  </w:r>
                  <w:r>
                    <w:rPr>
                      <w:rFonts w:ascii="仿宋_GB2312" w:hAnsi="仿宋_GB2312" w:cs="仿宋_GB2312" w:eastAsia="仿宋_GB2312"/>
                      <w:sz w:val="20"/>
                    </w:rPr>
                    <w:t>12</w:t>
                  </w:r>
                  <w:r>
                    <w:rPr>
                      <w:rFonts w:ascii="仿宋_GB2312" w:hAnsi="仿宋_GB2312" w:cs="仿宋_GB2312" w:eastAsia="仿宋_GB2312"/>
                      <w:sz w:val="20"/>
                    </w:rPr>
                    <w:t>个月，</w:t>
                  </w:r>
                  <w:r>
                    <w:rPr>
                      <w:rFonts w:ascii="仿宋_GB2312" w:hAnsi="仿宋_GB2312" w:cs="仿宋_GB2312" w:eastAsia="仿宋_GB2312"/>
                      <w:sz w:val="21"/>
                      <w:color w:val="333333"/>
                      <w:shd w:fill="FFFFFF" w:val="clear"/>
                    </w:rPr>
                    <w:t>缺陷责任期从工程实际竣工日期起算</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w:t>
                  </w:r>
                  <w:r>
                    <w:rPr>
                      <w:rFonts w:ascii="仿宋_GB2312" w:hAnsi="仿宋_GB2312" w:cs="仿宋_GB2312" w:eastAsia="仿宋_GB2312"/>
                      <w:sz w:val="20"/>
                    </w:rPr>
                    <w:t>质量保修期</w:t>
                  </w:r>
                  <w:r>
                    <w:rPr>
                      <w:rFonts w:ascii="仿宋_GB2312" w:hAnsi="仿宋_GB2312" w:cs="仿宋_GB2312" w:eastAsia="仿宋_GB2312"/>
                      <w:sz w:val="20"/>
                    </w:rPr>
                    <w:t>：</w:t>
                  </w:r>
                  <w:r>
                    <w:rPr>
                      <w:rFonts w:ascii="仿宋_GB2312" w:hAnsi="仿宋_GB2312" w:cs="仿宋_GB2312" w:eastAsia="仿宋_GB2312"/>
                      <w:sz w:val="20"/>
                    </w:rPr>
                    <w:t>按照国家质量保修相关条例执行，本项目质量保修期为</w:t>
                  </w:r>
                  <w:r>
                    <w:rPr>
                      <w:rFonts w:ascii="仿宋_GB2312" w:hAnsi="仿宋_GB2312" w:cs="仿宋_GB2312" w:eastAsia="仿宋_GB2312"/>
                      <w:sz w:val="20"/>
                    </w:rPr>
                    <w:t>2</w:t>
                  </w:r>
                  <w:r>
                    <w:rPr>
                      <w:rFonts w:ascii="仿宋_GB2312" w:hAnsi="仿宋_GB2312" w:cs="仿宋_GB2312" w:eastAsia="仿宋_GB2312"/>
                      <w:sz w:val="20"/>
                    </w:rPr>
                    <w:t>年，质量保修期从工程竣工验收合格之日起计算。</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总体设计</w:t>
                  </w:r>
                </w:p>
                <w:p>
                  <w:pPr>
                    <w:pStyle w:val="null3"/>
                    <w:jc w:val="both"/>
                  </w:pPr>
                  <w:r>
                    <w:rPr>
                      <w:rFonts w:ascii="仿宋_GB2312" w:hAnsi="仿宋_GB2312" w:cs="仿宋_GB2312" w:eastAsia="仿宋_GB2312"/>
                      <w:sz w:val="20"/>
                    </w:rPr>
                    <w:t>本次数字化建设完成后，首次展览以中华全国总工会成立</w:t>
                  </w:r>
                  <w:r>
                    <w:rPr>
                      <w:rFonts w:ascii="仿宋_GB2312" w:hAnsi="仿宋_GB2312" w:cs="仿宋_GB2312" w:eastAsia="仿宋_GB2312"/>
                      <w:sz w:val="20"/>
                    </w:rPr>
                    <w:t>100</w:t>
                  </w:r>
                  <w:r>
                    <w:rPr>
                      <w:rFonts w:ascii="仿宋_GB2312" w:hAnsi="仿宋_GB2312" w:cs="仿宋_GB2312" w:eastAsia="仿宋_GB2312"/>
                      <w:sz w:val="20"/>
                    </w:rPr>
                    <w:t>周年展览为主题，将集中展示</w:t>
                  </w:r>
                  <w:r>
                    <w:rPr>
                      <w:rFonts w:ascii="仿宋_GB2312" w:hAnsi="仿宋_GB2312" w:cs="仿宋_GB2312" w:eastAsia="仿宋_GB2312"/>
                      <w:sz w:val="20"/>
                    </w:rPr>
                    <w:t>1925</w:t>
                  </w:r>
                  <w:r>
                    <w:rPr>
                      <w:rFonts w:ascii="仿宋_GB2312" w:hAnsi="仿宋_GB2312" w:cs="仿宋_GB2312" w:eastAsia="仿宋_GB2312"/>
                      <w:sz w:val="20"/>
                    </w:rPr>
                    <w:t>年以来百年历史时间里，中国工运发展的辉煌成就和陕西各级工会组织团结带领广大职工在经济社会发展中取得的工作实绩。在满足周年展览为前提的基础上，考虑未来更换展览内容的需要和布局，规划本次展览由四部分内容组成，主要包括</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第一篇章筚路蓝缕开篇章</w:t>
                  </w:r>
                  <w:r>
                    <w:rPr>
                      <w:rFonts w:ascii="仿宋_GB2312" w:hAnsi="仿宋_GB2312" w:cs="仿宋_GB2312" w:eastAsia="仿宋_GB2312"/>
                      <w:sz w:val="20"/>
                    </w:rPr>
                    <w:t>(1919-1949</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星火初燃</w:t>
                  </w:r>
                  <w:r>
                    <w:rPr>
                      <w:rFonts w:ascii="仿宋_GB2312" w:hAnsi="仿宋_GB2312" w:cs="仿宋_GB2312" w:eastAsia="仿宋_GB2312"/>
                      <w:sz w:val="20"/>
                    </w:rPr>
                    <w:t>(1919-1925</w:t>
                  </w:r>
                  <w:r>
                    <w:rPr>
                      <w:rFonts w:ascii="仿宋_GB2312" w:hAnsi="仿宋_GB2312" w:cs="仿宋_GB2312" w:eastAsia="仿宋_GB2312"/>
                      <w:sz w:val="20"/>
                    </w:rPr>
                    <w:t>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赤帜引航</w:t>
                  </w:r>
                  <w:r>
                    <w:rPr>
                      <w:rFonts w:ascii="仿宋_GB2312" w:hAnsi="仿宋_GB2312" w:cs="仿宋_GB2312" w:eastAsia="仿宋_GB2312"/>
                      <w:sz w:val="20"/>
                    </w:rPr>
                    <w:t>(1925-1927</w:t>
                  </w:r>
                  <w:r>
                    <w:rPr>
                      <w:rFonts w:ascii="仿宋_GB2312" w:hAnsi="仿宋_GB2312" w:cs="仿宋_GB2312" w:eastAsia="仿宋_GB2312"/>
                      <w:sz w:val="20"/>
                    </w:rPr>
                    <w:t>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烽火淬炼</w:t>
                  </w:r>
                  <w:r>
                    <w:rPr>
                      <w:rFonts w:ascii="仿宋_GB2312" w:hAnsi="仿宋_GB2312" w:cs="仿宋_GB2312" w:eastAsia="仿宋_GB2312"/>
                      <w:sz w:val="20"/>
                    </w:rPr>
                    <w:t>(1927-1949</w:t>
                  </w:r>
                  <w:r>
                    <w:rPr>
                      <w:rFonts w:ascii="仿宋_GB2312" w:hAnsi="仿宋_GB2312" w:cs="仿宋_GB2312" w:eastAsia="仿宋_GB2312"/>
                      <w:sz w:val="20"/>
                    </w:rPr>
                    <w:t>年 · 陕甘宁边区工人运动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暗夜明灯</w:t>
                  </w:r>
                  <w:r>
                    <w:rPr>
                      <w:rFonts w:ascii="仿宋_GB2312" w:hAnsi="仿宋_GB2312" w:cs="仿宋_GB2312" w:eastAsia="仿宋_GB2312"/>
                      <w:sz w:val="20"/>
                    </w:rPr>
                    <w:t>(1927-1949</w:t>
                  </w:r>
                  <w:r>
                    <w:rPr>
                      <w:rFonts w:ascii="仿宋_GB2312" w:hAnsi="仿宋_GB2312" w:cs="仿宋_GB2312" w:eastAsia="仿宋_GB2312"/>
                      <w:sz w:val="20"/>
                    </w:rPr>
                    <w:t>年 · 国统区工人运动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第二篇章风雨兼程立潮头</w:t>
                  </w:r>
                  <w:r>
                    <w:rPr>
                      <w:rFonts w:ascii="仿宋_GB2312" w:hAnsi="仿宋_GB2312" w:cs="仿宋_GB2312" w:eastAsia="仿宋_GB2312"/>
                      <w:sz w:val="20"/>
                    </w:rPr>
                    <w:t>(1949-1978</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百废新篇</w:t>
                  </w:r>
                  <w:r>
                    <w:rPr>
                      <w:rFonts w:ascii="仿宋_GB2312" w:hAnsi="仿宋_GB2312" w:cs="仿宋_GB2312" w:eastAsia="仿宋_GB2312"/>
                      <w:sz w:val="20"/>
                    </w:rPr>
                    <w:t>(1949-1957</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锐意进取</w:t>
                  </w:r>
                  <w:r>
                    <w:rPr>
                      <w:rFonts w:ascii="仿宋_GB2312" w:hAnsi="仿宋_GB2312" w:cs="仿宋_GB2312" w:eastAsia="仿宋_GB2312"/>
                      <w:sz w:val="20"/>
                    </w:rPr>
                    <w:t>(1957-1966</w:t>
                  </w:r>
                  <w:r>
                    <w:rPr>
                      <w:rFonts w:ascii="仿宋_GB2312" w:hAnsi="仿宋_GB2312" w:cs="仿宋_GB2312" w:eastAsia="仿宋_GB2312"/>
                      <w:sz w:val="20"/>
                    </w:rPr>
                    <w:t>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众志成城</w:t>
                  </w:r>
                  <w:r>
                    <w:rPr>
                      <w:rFonts w:ascii="仿宋_GB2312" w:hAnsi="仿宋_GB2312" w:cs="仿宋_GB2312" w:eastAsia="仿宋_GB2312"/>
                      <w:sz w:val="20"/>
                    </w:rPr>
                    <w:t>(1966-1978</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一三线建设</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第三篇章匠心铸魂建功绩</w:t>
                  </w:r>
                  <w:r>
                    <w:rPr>
                      <w:rFonts w:ascii="仿宋_GB2312" w:hAnsi="仿宋_GB2312" w:cs="仿宋_GB2312" w:eastAsia="仿宋_GB2312"/>
                      <w:sz w:val="20"/>
                    </w:rPr>
                    <w:t>(1978-2012</w:t>
                  </w:r>
                  <w:r>
                    <w:rPr>
                      <w:rFonts w:ascii="仿宋_GB2312" w:hAnsi="仿宋_GB2312" w:cs="仿宋_GB2312" w:eastAsia="仿宋_GB2312"/>
                      <w:sz w:val="20"/>
                    </w:rPr>
                    <w:t>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春潮澎湃</w:t>
                  </w:r>
                  <w:r>
                    <w:rPr>
                      <w:rFonts w:ascii="仿宋_GB2312" w:hAnsi="仿宋_GB2312" w:cs="仿宋_GB2312" w:eastAsia="仿宋_GB2312"/>
                      <w:sz w:val="20"/>
                    </w:rPr>
                    <w:t>(1978-1992</w:t>
                  </w:r>
                  <w:r>
                    <w:rPr>
                      <w:rFonts w:ascii="仿宋_GB2312" w:hAnsi="仿宋_GB2312" w:cs="仿宋_GB2312" w:eastAsia="仿宋_GB2312"/>
                      <w:sz w:val="20"/>
                    </w:rPr>
                    <w:t>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破茧成蝶</w:t>
                  </w:r>
                  <w:r>
                    <w:rPr>
                      <w:rFonts w:ascii="仿宋_GB2312" w:hAnsi="仿宋_GB2312" w:cs="仿宋_GB2312" w:eastAsia="仿宋_GB2312"/>
                      <w:sz w:val="20"/>
                    </w:rPr>
                    <w:t>(1992-2002</w:t>
                  </w:r>
                  <w:r>
                    <w:rPr>
                      <w:rFonts w:ascii="仿宋_GB2312" w:hAnsi="仿宋_GB2312" w:cs="仿宋_GB2312" w:eastAsia="仿宋_GB2312"/>
                      <w:sz w:val="20"/>
                    </w:rPr>
                    <w:t>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小康宏图</w:t>
                  </w:r>
                  <w:r>
                    <w:rPr>
                      <w:rFonts w:ascii="仿宋_GB2312" w:hAnsi="仿宋_GB2312" w:cs="仿宋_GB2312" w:eastAsia="仿宋_GB2312"/>
                      <w:sz w:val="20"/>
                    </w:rPr>
                    <w:t>(2002-2012</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 xml:space="preserve"> “</w:t>
                  </w:r>
                  <w:r>
                    <w:rPr>
                      <w:rFonts w:ascii="仿宋_GB2312" w:hAnsi="仿宋_GB2312" w:cs="仿宋_GB2312" w:eastAsia="仿宋_GB2312"/>
                      <w:sz w:val="20"/>
                    </w:rPr>
                    <w:t>职工之家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第四篇章创新实干启新航</w:t>
                  </w:r>
                  <w:r>
                    <w:rPr>
                      <w:rFonts w:ascii="仿宋_GB2312" w:hAnsi="仿宋_GB2312" w:cs="仿宋_GB2312" w:eastAsia="仿宋_GB2312"/>
                      <w:sz w:val="20"/>
                    </w:rPr>
                    <w:t>(2012-2025</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数说工会</w:t>
                  </w:r>
                  <w:r>
                    <w:rPr>
                      <w:rFonts w:ascii="仿宋_GB2312" w:hAnsi="仿宋_GB2312" w:cs="仿宋_GB2312" w:eastAsia="仿宋_GB2312"/>
                      <w:sz w:val="20"/>
                    </w:rPr>
                    <w:t>(</w:t>
                  </w:r>
                  <w:r>
                    <w:rPr>
                      <w:rFonts w:ascii="仿宋_GB2312" w:hAnsi="仿宋_GB2312" w:cs="仿宋_GB2312" w:eastAsia="仿宋_GB2312"/>
                      <w:sz w:val="20"/>
                    </w:rPr>
                    <w:t>工会发展及数据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殷切关怀</w:t>
                  </w:r>
                </w:p>
                <w:p>
                  <w:pPr>
                    <w:pStyle w:val="null3"/>
                    <w:jc w:val="both"/>
                  </w:pPr>
                  <w:r>
                    <w:rPr>
                      <w:rFonts w:ascii="仿宋_GB2312" w:hAnsi="仿宋_GB2312" w:cs="仿宋_GB2312" w:eastAsia="仿宋_GB2312"/>
                      <w:sz w:val="20"/>
                    </w:rPr>
                    <w:t>时代答卷</w:t>
                  </w:r>
                  <w:r>
                    <w:rPr>
                      <w:rFonts w:ascii="仿宋_GB2312" w:hAnsi="仿宋_GB2312" w:cs="仿宋_GB2312" w:eastAsia="仿宋_GB2312"/>
                      <w:sz w:val="20"/>
                    </w:rPr>
                    <w:t>(</w:t>
                  </w:r>
                  <w:r>
                    <w:rPr>
                      <w:rFonts w:ascii="仿宋_GB2312" w:hAnsi="仿宋_GB2312" w:cs="仿宋_GB2312" w:eastAsia="仿宋_GB2312"/>
                      <w:sz w:val="20"/>
                    </w:rPr>
                    <w:t>新时代工会成果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匠心筑梦</w:t>
                  </w:r>
                  <w:r>
                    <w:rPr>
                      <w:rFonts w:ascii="仿宋_GB2312" w:hAnsi="仿宋_GB2312" w:cs="仿宋_GB2312" w:eastAsia="仿宋_GB2312"/>
                      <w:sz w:val="20"/>
                    </w:rPr>
                    <w:t>(</w:t>
                  </w:r>
                  <w:r>
                    <w:rPr>
                      <w:rFonts w:ascii="仿宋_GB2312" w:hAnsi="仿宋_GB2312" w:cs="仿宋_GB2312" w:eastAsia="仿宋_GB2312"/>
                      <w:sz w:val="20"/>
                    </w:rPr>
                    <w:t>三秦工匠</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展厅的数字化建设匹配全国总工会成立</w:t>
                  </w:r>
                  <w:r>
                    <w:rPr>
                      <w:rFonts w:ascii="仿宋_GB2312" w:hAnsi="仿宋_GB2312" w:cs="仿宋_GB2312" w:eastAsia="仿宋_GB2312"/>
                      <w:sz w:val="20"/>
                    </w:rPr>
                    <w:t>100</w:t>
                  </w:r>
                  <w:r>
                    <w:rPr>
                      <w:rFonts w:ascii="仿宋_GB2312" w:hAnsi="仿宋_GB2312" w:cs="仿宋_GB2312" w:eastAsia="仿宋_GB2312"/>
                      <w:sz w:val="20"/>
                    </w:rPr>
                    <w:t>周年展览活动的内容，分为四部分主题场馆建设。整个展览的总体架构是以时间卷轴的加工运展作为核心主题。通过时间之轴的缓缓展开，我们得以窥见工会发展的历史之门，深入探索工运的基因和地域的特色作为创作的基点。</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四、装饰设计</w:t>
                  </w:r>
                </w:p>
                <w:p>
                  <w:pPr>
                    <w:pStyle w:val="null3"/>
                    <w:jc w:val="both"/>
                  </w:pPr>
                  <w:r>
                    <w:rPr>
                      <w:rFonts w:ascii="仿宋_GB2312" w:hAnsi="仿宋_GB2312" w:cs="仿宋_GB2312" w:eastAsia="仿宋_GB2312"/>
                      <w:sz w:val="20"/>
                    </w:rPr>
                    <w:t>史展馆装修主要包括了展馆的整体布局、墙面、吊顶及灯光、配饰等方面的内容，使得展馆在功能性、美观性和舒适性等方面达到最佳的状态，以便配套展厅的建设内容。结合数字化展厅效果，选择明亮大气、富有质感的色彩，同时注重展现时尚感和未来感，选择冷静沉着的色彩和具有科技感的设计元素。灯光的设计采用顶部灯带与射灯的结合，增强展馆的美感和吸引力。</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五、体验设计</w:t>
                  </w:r>
                </w:p>
                <w:p>
                  <w:pPr>
                    <w:pStyle w:val="null3"/>
                    <w:jc w:val="both"/>
                  </w:pPr>
                  <w:r>
                    <w:rPr>
                      <w:rFonts w:ascii="仿宋_GB2312" w:hAnsi="仿宋_GB2312" w:cs="仿宋_GB2312" w:eastAsia="仿宋_GB2312"/>
                      <w:sz w:val="20"/>
                    </w:rPr>
                    <w:t>数字展厅作为展示信息与文化的前沿平台，需要创新以满足观众的体验需求。为增强数字展厅的现代感与科技感，融入数字人讲解、场景交互、互动体验、社交分享四大核心元素，重塑展厅参观体验。其目的是通过前沿技术应用，让展厅充满浓厚的现代科技感，成为吸引观众的亮点；增强展览的互动性，鼓励观众积极参与，借助场景交互与互动体验，加深对展示内容的理解与记忆；利用社交分享功能，促进社交传播，扩大史馆影响力，吸引更多潜在观众。</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、数字人讲解：采用先进的人工智能技术，创建高仿真数字人讲解员。数字人能根据观众提问，实时提供准确、生动的讲解，并可支持多语言服务。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、场景交互：运用</w:t>
                  </w:r>
                  <w:r>
                    <w:rPr>
                      <w:rFonts w:ascii="仿宋_GB2312" w:hAnsi="仿宋_GB2312" w:cs="仿宋_GB2312" w:eastAsia="仿宋_GB2312"/>
                      <w:sz w:val="20"/>
                    </w:rPr>
                    <w:t>3D</w:t>
                  </w:r>
                  <w:r>
                    <w:rPr>
                      <w:rFonts w:ascii="仿宋_GB2312" w:hAnsi="仿宋_GB2312" w:cs="仿宋_GB2312" w:eastAsia="仿宋_GB2312"/>
                      <w:sz w:val="20"/>
                    </w:rPr>
                    <w:t>、显示屏交互等功能实现多屏幕、多场景的交互，使得观众所处展区的视频动画内容可在多屏幕之间联动播放，增加观众对对所展内容的沉浸度。</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、互动体验：设置多种互动体验，如触摸互动、体感互动、手势互动等。让观众通过触摸、动作等方式，参与到展示内容中，增加参观的趣味性。</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、社交分享：观众在参观过程中拍摄的照片、视频，以及体验心得，都能分享到个人或者工疗社交平台上，再分享参观感受的同时又能宣传史馆。</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六、设备选型设计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显示设备</w:t>
                  </w:r>
                </w:p>
                <w:p>
                  <w:pPr>
                    <w:pStyle w:val="null3"/>
                    <w:jc w:val="both"/>
                  </w:pPr>
                  <w:r>
                    <w:rPr>
                      <w:rFonts w:ascii="仿宋_GB2312" w:hAnsi="仿宋_GB2312" w:cs="仿宋_GB2312" w:eastAsia="仿宋_GB2312"/>
                      <w:sz w:val="20"/>
                    </w:rPr>
                    <w:t>拟选用小间距</w:t>
                  </w:r>
                  <w:r>
                    <w:rPr>
                      <w:rFonts w:ascii="仿宋_GB2312" w:hAnsi="仿宋_GB2312" w:cs="仿宋_GB2312" w:eastAsia="仿宋_GB2312"/>
                      <w:sz w:val="20"/>
                    </w:rPr>
                    <w:t xml:space="preserve"> LED </w:t>
                  </w:r>
                  <w:r>
                    <w:rPr>
                      <w:rFonts w:ascii="仿宋_GB2312" w:hAnsi="仿宋_GB2312" w:cs="仿宋_GB2312" w:eastAsia="仿宋_GB2312"/>
                      <w:sz w:val="20"/>
                    </w:rPr>
                    <w:t>显示屏，</w:t>
                  </w:r>
                  <w:r>
                    <w:rPr>
                      <w:rFonts w:ascii="仿宋_GB2312" w:hAnsi="仿宋_GB2312" w:cs="仿宋_GB2312" w:eastAsia="仿宋_GB2312"/>
                      <w:sz w:val="20"/>
                    </w:rPr>
                    <w:t xml:space="preserve">P1.5 </w:t>
                  </w:r>
                  <w:r>
                    <w:rPr>
                      <w:rFonts w:ascii="仿宋_GB2312" w:hAnsi="仿宋_GB2312" w:cs="仿宋_GB2312" w:eastAsia="仿宋_GB2312"/>
                      <w:sz w:val="20"/>
                    </w:rPr>
                    <w:t>及以下间距产品，具备高分辨率（可达</w:t>
                  </w:r>
                  <w:r>
                    <w:rPr>
                      <w:rFonts w:ascii="仿宋_GB2312" w:hAnsi="仿宋_GB2312" w:cs="仿宋_GB2312" w:eastAsia="仿宋_GB2312"/>
                      <w:sz w:val="20"/>
                    </w:rPr>
                    <w:t xml:space="preserve"> 4K </w:t>
                  </w:r>
                  <w:r>
                    <w:rPr>
                      <w:rFonts w:ascii="仿宋_GB2312" w:hAnsi="仿宋_GB2312" w:cs="仿宋_GB2312" w:eastAsia="仿宋_GB2312"/>
                      <w:sz w:val="20"/>
                    </w:rPr>
                    <w:t xml:space="preserve">甚至 </w:t>
                  </w:r>
                  <w:r>
                    <w:rPr>
                      <w:rFonts w:ascii="仿宋_GB2312" w:hAnsi="仿宋_GB2312" w:cs="仿宋_GB2312" w:eastAsia="仿宋_GB2312"/>
                      <w:sz w:val="20"/>
                    </w:rPr>
                    <w:t>8K</w:t>
                  </w:r>
                  <w:r>
                    <w:rPr>
                      <w:rFonts w:ascii="仿宋_GB2312" w:hAnsi="仿宋_GB2312" w:cs="仿宋_GB2312" w:eastAsia="仿宋_GB2312"/>
                      <w:sz w:val="20"/>
                    </w:rPr>
                    <w:t>），能够清晰呈现工运历史图片、视频等内容。其高亮度特性（典型值≥</w:t>
                  </w:r>
                  <w:r>
                    <w:rPr>
                      <w:rFonts w:ascii="仿宋_GB2312" w:hAnsi="仿宋_GB2312" w:cs="仿宋_GB2312" w:eastAsia="仿宋_GB2312"/>
                      <w:sz w:val="20"/>
                    </w:rPr>
                    <w:t>8000cd/</w:t>
                  </w:r>
                  <w:r>
                    <w:rPr>
                      <w:rFonts w:ascii="仿宋_GB2312" w:hAnsi="仿宋_GB2312" w:cs="仿宋_GB2312" w:eastAsia="仿宋_GB2312"/>
                      <w:sz w:val="20"/>
                    </w:rPr>
                    <w:t>㎡）可适应不同光线环境，确保在展厅内各种光照条件下都能有出色的可视效果。</w:t>
                  </w:r>
                  <w:r>
                    <w:rPr>
                      <w:rFonts w:ascii="仿宋_GB2312" w:hAnsi="仿宋_GB2312" w:cs="仿宋_GB2312" w:eastAsia="仿宋_GB2312"/>
                      <w:sz w:val="20"/>
                    </w:rPr>
                    <w:t>160</w:t>
                  </w:r>
                  <w:r>
                    <w:rPr>
                      <w:rFonts w:ascii="仿宋_GB2312" w:hAnsi="仿宋_GB2312" w:cs="仿宋_GB2312" w:eastAsia="仿宋_GB2312"/>
                      <w:sz w:val="20"/>
                    </w:rPr>
                    <w:t>°以上的广视角设计，能让观众从不同角度都能完整、清晰地观看屏幕内容。高刷新率保证动态画面无拖影、卡顿，使播放的工人运动历史场景视频更加流畅自然。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互动装置</w:t>
                  </w:r>
                </w:p>
                <w:p>
                  <w:pPr>
                    <w:pStyle w:val="null3"/>
                    <w:jc w:val="both"/>
                  </w:pPr>
                  <w:r>
                    <w:rPr>
                      <w:rFonts w:ascii="仿宋_GB2312" w:hAnsi="仿宋_GB2312" w:cs="仿宋_GB2312" w:eastAsia="仿宋_GB2312"/>
                      <w:sz w:val="20"/>
                    </w:rPr>
                    <w:t>采用红外触摸技术的触摸屏一体机，具有响应速度快（小于</w:t>
                  </w:r>
                  <w:r>
                    <w:rPr>
                      <w:rFonts w:ascii="仿宋_GB2312" w:hAnsi="仿宋_GB2312" w:cs="仿宋_GB2312" w:eastAsia="仿宋_GB2312"/>
                      <w:sz w:val="20"/>
                    </w:rPr>
                    <w:t xml:space="preserve"> 5ms</w:t>
                  </w:r>
                  <w:r>
                    <w:rPr>
                      <w:rFonts w:ascii="仿宋_GB2312" w:hAnsi="仿宋_GB2312" w:cs="仿宋_GB2312" w:eastAsia="仿宋_GB2312"/>
                      <w:sz w:val="20"/>
                    </w:rPr>
                    <w:t>）、触摸精度高（可达 ±</w:t>
                  </w:r>
                  <w:r>
                    <w:rPr>
                      <w:rFonts w:ascii="仿宋_GB2312" w:hAnsi="仿宋_GB2312" w:cs="仿宋_GB2312" w:eastAsia="仿宋_GB2312"/>
                      <w:sz w:val="20"/>
                    </w:rPr>
                    <w:t>1mm</w:t>
                  </w:r>
                  <w:r>
                    <w:rPr>
                      <w:rFonts w:ascii="仿宋_GB2312" w:hAnsi="仿宋_GB2312" w:cs="仿宋_GB2312" w:eastAsia="仿宋_GB2312"/>
                      <w:sz w:val="20"/>
                    </w:rPr>
                    <w:t xml:space="preserve">）的优势。屏幕尺寸根据展示区域需求选择 </w:t>
                  </w:r>
                  <w:r>
                    <w:rPr>
                      <w:rFonts w:ascii="仿宋_GB2312" w:hAnsi="仿宋_GB2312" w:cs="仿宋_GB2312" w:eastAsia="仿宋_GB2312"/>
                      <w:sz w:val="20"/>
                    </w:rPr>
                    <w:t>32</w:t>
                  </w:r>
                  <w:r>
                    <w:rPr>
                      <w:rFonts w:ascii="仿宋_GB2312" w:hAnsi="仿宋_GB2312" w:cs="仿宋_GB2312" w:eastAsia="仿宋_GB2312"/>
                      <w:sz w:val="20"/>
                    </w:rPr>
                    <w:t>英寸触摸一体机。可实现多点触控，方便观众进行展品信息查询、互动游戏操作等。其坚固耐用的屏幕材质，能承受频繁触摸操作，降低维护成本。同时具备互动签名功能，利用手写触摸的方式在电子留言墙上写下感言，并留下自己的名字。</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互动留影设备</w:t>
                  </w:r>
                </w:p>
                <w:p>
                  <w:pPr>
                    <w:pStyle w:val="null3"/>
                    <w:jc w:val="both"/>
                  </w:pPr>
                  <w:r>
                    <w:rPr>
                      <w:rFonts w:ascii="仿宋_GB2312" w:hAnsi="仿宋_GB2312" w:cs="仿宋_GB2312" w:eastAsia="仿宋_GB2312"/>
                      <w:sz w:val="20"/>
                    </w:rPr>
                    <w:t>互动留影设备为软硬件结合，提供全面的互动体验。软件支持抠像换背景，搭配大屏展示照片墙，带来沉浸式拍照效果。硬件一体机搭载</w:t>
                  </w:r>
                  <w:r>
                    <w:rPr>
                      <w:rFonts w:ascii="仿宋_GB2312" w:hAnsi="仿宋_GB2312" w:cs="仿宋_GB2312" w:eastAsia="仿宋_GB2312"/>
                      <w:sz w:val="20"/>
                    </w:rPr>
                    <w:t>4K</w:t>
                  </w:r>
                  <w:r>
                    <w:rPr>
                      <w:rFonts w:ascii="仿宋_GB2312" w:hAnsi="仿宋_GB2312" w:cs="仿宋_GB2312" w:eastAsia="仿宋_GB2312"/>
                      <w:sz w:val="20"/>
                    </w:rPr>
                    <w:t>高精度摄像头，实现实时互动，可拍摄并生成个性化照片。此外，还可选配多款软件，如</w:t>
                  </w:r>
                  <w:r>
                    <w:rPr>
                      <w:rFonts w:ascii="仿宋_GB2312" w:hAnsi="仿宋_GB2312" w:cs="仿宋_GB2312" w:eastAsia="仿宋_GB2312"/>
                      <w:sz w:val="20"/>
                    </w:rPr>
                    <w:t>AIGC</w:t>
                  </w:r>
                  <w:r>
                    <w:rPr>
                      <w:rFonts w:ascii="仿宋_GB2312" w:hAnsi="仿宋_GB2312" w:cs="仿宋_GB2312" w:eastAsia="仿宋_GB2312"/>
                      <w:sz w:val="20"/>
                    </w:rPr>
                    <w:t>拍照、</w:t>
                  </w:r>
                  <w:r>
                    <w:rPr>
                      <w:rFonts w:ascii="仿宋_GB2312" w:hAnsi="仿宋_GB2312" w:cs="仿宋_GB2312" w:eastAsia="仿宋_GB2312"/>
                      <w:sz w:val="20"/>
                    </w:rPr>
                    <w:t>AI</w:t>
                  </w:r>
                  <w:r>
                    <w:rPr>
                      <w:rFonts w:ascii="仿宋_GB2312" w:hAnsi="仿宋_GB2312" w:cs="仿宋_GB2312" w:eastAsia="仿宋_GB2312"/>
                      <w:sz w:val="20"/>
                    </w:rPr>
                    <w:t>换脸、</w:t>
                  </w:r>
                  <w:r>
                    <w:rPr>
                      <w:rFonts w:ascii="仿宋_GB2312" w:hAnsi="仿宋_GB2312" w:cs="仿宋_GB2312" w:eastAsia="仿宋_GB2312"/>
                      <w:sz w:val="20"/>
                    </w:rPr>
                    <w:t>AI</w:t>
                  </w:r>
                  <w:r>
                    <w:rPr>
                      <w:rFonts w:ascii="仿宋_GB2312" w:hAnsi="仿宋_GB2312" w:cs="仿宋_GB2312" w:eastAsia="仿宋_GB2312"/>
                      <w:sz w:val="20"/>
                    </w:rPr>
                    <w:t>换衣以及体感二次元等，为活动增添无限创意和趣味。</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音响系统</w:t>
                  </w:r>
                </w:p>
                <w:p>
                  <w:pPr>
                    <w:pStyle w:val="null3"/>
                    <w:jc w:val="both"/>
                  </w:pPr>
                  <w:r>
                    <w:rPr>
                      <w:rFonts w:ascii="仿宋_GB2312" w:hAnsi="仿宋_GB2312" w:cs="仿宋_GB2312" w:eastAsia="仿宋_GB2312"/>
                      <w:sz w:val="20"/>
                    </w:rPr>
                    <w:t>采用</w:t>
                  </w:r>
                  <w:r>
                    <w:rPr>
                      <w:rFonts w:ascii="仿宋_GB2312" w:hAnsi="仿宋_GB2312" w:cs="仿宋_GB2312" w:eastAsia="仿宋_GB2312"/>
                      <w:sz w:val="20"/>
                    </w:rPr>
                    <w:t xml:space="preserve"> 5.1 </w:t>
                  </w:r>
                  <w:r>
                    <w:rPr>
                      <w:rFonts w:ascii="仿宋_GB2312" w:hAnsi="仿宋_GB2312" w:cs="仿宋_GB2312" w:eastAsia="仿宋_GB2312"/>
                      <w:sz w:val="20"/>
                    </w:rPr>
                    <w:t>声道环绕音响系统，由前置左、右声道音箱，中置音箱，后置左、右环绕音箱以及低音炮组成。音箱选用专业级别的三分频设计，高音清晰、中音饱满、低音震撼。功率根据展厅空间大小进行配置，确保声音能够均匀覆盖整个展厅。</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七、首展设计</w:t>
                  </w:r>
                </w:p>
                <w:p>
                  <w:pPr>
                    <w:pStyle w:val="null3"/>
                    <w:jc w:val="both"/>
                  </w:pPr>
                  <w:r>
                    <w:rPr>
                      <w:rFonts w:ascii="仿宋_GB2312" w:hAnsi="仿宋_GB2312" w:cs="仿宋_GB2312" w:eastAsia="仿宋_GB2312"/>
                      <w:sz w:val="20"/>
                    </w:rPr>
                    <w:t>首展设计以庆祝中华全国总工会成立</w:t>
                  </w:r>
                  <w:r>
                    <w:rPr>
                      <w:rFonts w:ascii="仿宋_GB2312" w:hAnsi="仿宋_GB2312" w:cs="仿宋_GB2312" w:eastAsia="仿宋_GB2312"/>
                      <w:sz w:val="20"/>
                    </w:rPr>
                    <w:t>100</w:t>
                  </w:r>
                  <w:r>
                    <w:rPr>
                      <w:rFonts w:ascii="仿宋_GB2312" w:hAnsi="仿宋_GB2312" w:cs="仿宋_GB2312" w:eastAsia="仿宋_GB2312"/>
                      <w:sz w:val="20"/>
                    </w:rPr>
                    <w:t>周年展览为主题，结合电子展厅软硬件设备功能，设计首展内容。包括展厅装饰布置及活动展板，展厅所</w:t>
                  </w:r>
                  <w:r>
                    <w:rPr>
                      <w:rFonts w:ascii="仿宋_GB2312" w:hAnsi="仿宋_GB2312" w:cs="仿宋_GB2312" w:eastAsia="仿宋_GB2312"/>
                      <w:sz w:val="20"/>
                    </w:rPr>
                    <w:t>展</w:t>
                  </w:r>
                  <w:r>
                    <w:rPr>
                      <w:rFonts w:ascii="仿宋_GB2312" w:hAnsi="仿宋_GB2312" w:cs="仿宋_GB2312" w:eastAsia="仿宋_GB2312"/>
                      <w:sz w:val="20"/>
                    </w:rPr>
                    <w:t>的图片、视频、动画、</w:t>
                  </w:r>
                  <w:r>
                    <w:rPr>
                      <w:rFonts w:ascii="仿宋_GB2312" w:hAnsi="仿宋_GB2312" w:cs="仿宋_GB2312" w:eastAsia="仿宋_GB2312"/>
                      <w:sz w:val="20"/>
                    </w:rPr>
                    <w:t>3D</w:t>
                  </w:r>
                  <w:r>
                    <w:rPr>
                      <w:rFonts w:ascii="仿宋_GB2312" w:hAnsi="仿宋_GB2312" w:cs="仿宋_GB2312" w:eastAsia="仿宋_GB2312"/>
                      <w:sz w:val="20"/>
                    </w:rPr>
                    <w:t>动画、交互互动内容、讲解内容录制等展览内容的整体设计。</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 xml:space="preserve">八、                                                                                         </w:t>
                  </w:r>
                </w:p>
                <w:tbl>
                  <w:tblPr>
                    <w:tblInd w:type="dxa" w:w="105"/>
                    <w:tblBorders>
                      <w:top w:val="single"/>
                      <w:left w:val="single"/>
                      <w:bottom w:val="single"/>
                      <w:right w:val="single"/>
                      <w:insideH w:val="single"/>
                      <w:insideV w:val="single"/>
                    </w:tblBorders>
                  </w:tblPr>
                  <w:tblGrid>
                    <w:gridCol w:w="214"/>
                    <w:gridCol w:w="400"/>
                    <w:gridCol w:w="997"/>
                    <w:gridCol w:w="227"/>
                    <w:gridCol w:w="246"/>
                  </w:tblGrid>
                  <w:tr>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序号</w:t>
                        </w:r>
                      </w:p>
                    </w:tc>
                    <w:tc>
                      <w:tcPr>
                        <w:tcW w:type="dxa" w:w="40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项目</w:t>
                        </w:r>
                      </w:p>
                    </w:tc>
                    <w:tc>
                      <w:tcPr>
                        <w:tcW w:type="dxa" w:w="99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规格、材料、工艺说明</w:t>
                        </w:r>
                      </w:p>
                    </w:tc>
                    <w:tc>
                      <w:tcPr>
                        <w:tcW w:type="dxa" w:w="22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单位</w:t>
                        </w:r>
                      </w:p>
                    </w:tc>
                    <w:tc>
                      <w:tcPr>
                        <w:tcW w:type="dxa" w:w="24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数量</w:t>
                        </w:r>
                      </w:p>
                    </w:tc>
                  </w:tr>
                  <w:tr>
                    <w:tc>
                      <w:tcPr>
                        <w:tcW w:type="dxa" w:w="208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0"/>
                            <w:b/>
                            <w:color w:val="000000"/>
                          </w:rPr>
                          <w:t>一、展馆</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基础拆除及垃圾清运</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原展馆内结构及展板拆除、垃圾清运</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吊顶天花</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定制铝方通24800*11900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310</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地面</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自流平铺地胶24800*11900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310</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整场布线</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展馆内骨干电线及网络线缆布设</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330</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照明</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展馆专用办公灯+轨道灯+筒灯+氛围灯+钢木定制软膜灯箱等</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功放音响</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IP</w:t>
                        </w:r>
                        <w:r>
                          <w:rPr>
                            <w:rFonts w:ascii="仿宋_GB2312" w:hAnsi="仿宋_GB2312" w:cs="仿宋_GB2312" w:eastAsia="仿宋_GB2312"/>
                            <w:sz w:val="20"/>
                            <w:color w:val="000000"/>
                          </w:rPr>
                          <w:t>音箱，展厅专用，5.1声道，可分区</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展览管理系统</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定制开发</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展厅智能化控制系统</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定制开发</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互动交互开发</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定制开发</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落地式机柜</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42U</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面</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0"/>
                            <w:b/>
                            <w:color w:val="000000"/>
                          </w:rPr>
                          <w:t>二、序厅</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0"/>
                            <w:color w:val="000000"/>
                          </w:rPr>
                          <w:t>序厅隔墙</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基础：75系列轻钢龙骨间距300；双层双面阻燃石膏板；刮腻子打磨三遍，刷乳胶漆三遍。</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灯箱</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造型灯箱</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灯带</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型材灯带</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米</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吊幔</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纱幔吊装</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00"/>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w:t>
                        </w:r>
                        <w:r>
                          <w:rPr>
                            <w:rFonts w:ascii="仿宋_GB2312" w:hAnsi="仿宋_GB2312" w:cs="仿宋_GB2312" w:eastAsia="仿宋_GB2312"/>
                            <w:sz w:val="21"/>
                            <w:color w:val="000000"/>
                          </w:rPr>
                          <w:t>≤</w:t>
                        </w:r>
                        <w:r>
                          <w:rPr>
                            <w:rFonts w:ascii="仿宋_GB2312" w:hAnsi="仿宋_GB2312" w:cs="仿宋_GB2312" w:eastAsia="仿宋_GB2312"/>
                            <w:sz w:val="20"/>
                            <w:color w:val="000000"/>
                          </w:rPr>
                          <w:t>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00"/>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显示屏专用电源</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显示屏专用电源：全彩LED开关电源，转换效率超过86%，具有输出短路/过载保护，可靠性高、带载能力强，符合3C标准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00"/>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接收卡</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自带≥12个HUB75接口，数据组数：≥32组，最大带载：长度≥256点，高度≥768点，支持亮度/色度校正</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00"/>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视频拼接处理器</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支持≥4096*2160@60HZ信号输入，并向下兼容；最大带载1040万像素，最大带载宽度16384，最大带载高度8192；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0"/>
                            <w:b/>
                            <w:color w:val="000000"/>
                          </w:rPr>
                          <w:t>三、筚路蓝缕开篇章</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主结构</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基础：75系列轻钢龙骨间距300；双层阻燃石膏板；刮腻子打磨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二级造型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阻燃板石膏板刮腻子打磨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基础饰面</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基膜+糯米胶+油画布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w:t>
                        </w:r>
                        <w:r>
                          <w:rPr>
                            <w:rFonts w:ascii="仿宋_GB2312" w:hAnsi="仿宋_GB2312" w:cs="仿宋_GB2312" w:eastAsia="仿宋_GB2312"/>
                            <w:sz w:val="21"/>
                            <w:color w:val="000000"/>
                          </w:rPr>
                          <w:t>≤</w:t>
                        </w:r>
                        <w:r>
                          <w:rPr>
                            <w:rFonts w:ascii="仿宋_GB2312" w:hAnsi="仿宋_GB2312" w:cs="仿宋_GB2312" w:eastAsia="仿宋_GB2312"/>
                            <w:sz w:val="20"/>
                            <w:color w:val="000000"/>
                          </w:rPr>
                          <w:t>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显示屏专用电源</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显示屏专用电源：全彩LED开关电源，转换效率超过86%，具有输出短路/过载保护，可靠性高、带载能力强，符合3C标准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接收卡</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自带≥12个HUB75接口，数据组数：≥32组，最大带载：长度≥256点，高度≥768点，支持亮度/色度校正</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视频拼接处理器</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支持≥4096*2160@60HZ信号输入，并向下兼容；最大带载1040万像素，最大带载宽度16384，最大带载高度8192；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屏玻璃</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640*3000</w:t>
                        </w:r>
                        <w:r>
                          <w:rPr>
                            <w:rFonts w:ascii="仿宋_GB2312" w:hAnsi="仿宋_GB2312" w:cs="仿宋_GB2312" w:eastAsia="仿宋_GB2312"/>
                            <w:sz w:val="20"/>
                            <w:color w:val="000000"/>
                          </w:rPr>
                          <w:t>钢化玻璃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书造型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木质结构乳胶漆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展板</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吊装展板</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落地书造型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立柱书造型定制</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投影机</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定制投影机互动装置每个影碟为单独播放视频，可更换</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顶部造型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灯箱及装置</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场景</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定制微缩场景，场景占地面积7.5㎡，高度1.5米。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弧形屏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 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平米</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场景基础</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阻燃板石膏板乳胶漆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场景顶部灯箱</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软膜灯箱</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三级造型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定制亚克力雕刻造型</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0"/>
                            <w:b/>
                            <w:color w:val="000000"/>
                          </w:rPr>
                          <w:t>四、风雨兼程立潮头</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主结构</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基础： 75系列轻钢龙骨间距300；双层阻燃石膏板；刮腻子打磨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40</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方格造型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钢木结构乳胶漆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28</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基础饰面</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基膜+糯米胶+油画布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二级造型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阻燃板石膏板刮腻子打磨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展柜</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定制玻璃展柜</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艺术装置</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定制铁艺装置艺术飘带+真石漆雕塑</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顶部灯箱</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软膜灯箱</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w:t>
                        </w:r>
                        <w:r>
                          <w:rPr>
                            <w:rFonts w:ascii="仿宋_GB2312" w:hAnsi="仿宋_GB2312" w:cs="仿宋_GB2312" w:eastAsia="仿宋_GB2312"/>
                            <w:sz w:val="21"/>
                            <w:color w:val="000000"/>
                          </w:rPr>
                          <w:t>≤</w:t>
                        </w:r>
                        <w:r>
                          <w:rPr>
                            <w:rFonts w:ascii="仿宋_GB2312" w:hAnsi="仿宋_GB2312" w:cs="仿宋_GB2312" w:eastAsia="仿宋_GB2312"/>
                            <w:sz w:val="20"/>
                            <w:color w:val="000000"/>
                          </w:rPr>
                          <w:t>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显示屏专用电源</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显示屏专用电源：全彩LED开关电源，转换效率超过86%，具有输出短路/过载保护，可靠性高、带载能力强，符合3C标准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接收卡</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自带≥12个HUB75接口，数据组数：≥32组，最大带载：长度≥256点，高度≥768点，支持亮度/色度校正</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视频拼接处理器</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支持≥4096*2160@60HZ信号输入，并向下兼容；最大带载1040万像素，最大带载宽度16384，最大带载高度8192；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屏玻璃</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640*3000</w:t>
                        </w:r>
                        <w:r>
                          <w:rPr>
                            <w:rFonts w:ascii="仿宋_GB2312" w:hAnsi="仿宋_GB2312" w:cs="仿宋_GB2312" w:eastAsia="仿宋_GB2312"/>
                            <w:sz w:val="20"/>
                            <w:color w:val="000000"/>
                          </w:rPr>
                          <w:t>钢化玻璃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互动装置</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屏及互动装置，32寸卧试一体机</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美工</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展板立体字</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剪影</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PVC</w:t>
                        </w:r>
                        <w:r>
                          <w:rPr>
                            <w:rFonts w:ascii="仿宋_GB2312" w:hAnsi="仿宋_GB2312" w:cs="仿宋_GB2312" w:eastAsia="仿宋_GB2312"/>
                            <w:sz w:val="20"/>
                            <w:color w:val="000000"/>
                          </w:rPr>
                          <w:t>雕刻</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轨道场景</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定制，长度4.7米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0"/>
                            <w:b/>
                            <w:color w:val="000000"/>
                          </w:rPr>
                          <w:t>五、匠心铸魂建功绩</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主结构</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基础： 75系列轻钢龙骨间距300；双层阻燃石膏板；刮腻子打磨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二级造型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基础饰面</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基膜+糯米胶+油画布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38</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美工</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展板.立体字.精工字</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展柜</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定制展柜</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雕塑</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定制人物雕塑</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w:t>
                        </w:r>
                        <w:r>
                          <w:rPr>
                            <w:rFonts w:ascii="仿宋_GB2312" w:hAnsi="仿宋_GB2312" w:cs="仿宋_GB2312" w:eastAsia="仿宋_GB2312"/>
                            <w:sz w:val="21"/>
                            <w:color w:val="000000"/>
                          </w:rPr>
                          <w:t>≤</w:t>
                        </w:r>
                        <w:r>
                          <w:rPr>
                            <w:rFonts w:ascii="仿宋_GB2312" w:hAnsi="仿宋_GB2312" w:cs="仿宋_GB2312" w:eastAsia="仿宋_GB2312"/>
                            <w:sz w:val="20"/>
                            <w:color w:val="000000"/>
                          </w:rPr>
                          <w:t>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显示屏专用电源</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显示屏专用电源：全彩LED开关电源，转换效率超过86%，具有输出短路/过载保护，可靠性高、带载能力强，符合3C标准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接收卡</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自带≥12个HUB75接口，数据组数：≥32组，最大带载：长度≥256点，高度≥768点，支持亮度/色度校正</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视频拼接处理器</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支持≥4096*2160@60HZ信号输入，并向下兼容；最大带载1040万像素，最大带载宽度16384，最大带载高度8192；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屏玻璃</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640*3000</w:t>
                        </w:r>
                        <w:r>
                          <w:rPr>
                            <w:rFonts w:ascii="仿宋_GB2312" w:hAnsi="仿宋_GB2312" w:cs="仿宋_GB2312" w:eastAsia="仿宋_GB2312"/>
                            <w:sz w:val="20"/>
                            <w:color w:val="000000"/>
                          </w:rPr>
                          <w:t>钢化玻璃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LED</w:t>
                        </w:r>
                        <w:r>
                          <w:rPr>
                            <w:rFonts w:ascii="仿宋_GB2312" w:hAnsi="仿宋_GB2312" w:cs="仿宋_GB2312" w:eastAsia="仿宋_GB2312"/>
                            <w:sz w:val="20"/>
                          </w:rPr>
                          <w:t>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1.3</w:t>
                        </w:r>
                      </w:p>
                    </w:tc>
                  </w:tr>
                  <w:tr>
                    <w:tc>
                      <w:tcPr>
                        <w:tcW w:type="dxa" w:w="208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0"/>
                            <w:b/>
                            <w:color w:val="000000"/>
                          </w:rPr>
                          <w:t>六、创新实干启新航</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机械臂基础</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木质结构刮腻子打磨乳胶漆3890*3000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机械臂灯箱</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软膜灯箱3890*3000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机械臂顶部灯箱</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木质结构乳胶漆软膜灯箱3890*1650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机械臂</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定制机械臂</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机械臂地台</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木质结构地胶</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机械臂展柜</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钢木结构烤漆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米</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电视</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65</w:t>
                        </w:r>
                        <w:r>
                          <w:rPr>
                            <w:rFonts w:ascii="仿宋_GB2312" w:hAnsi="仿宋_GB2312" w:cs="仿宋_GB2312" w:eastAsia="仿宋_GB2312"/>
                            <w:sz w:val="20"/>
                            <w:color w:val="000000"/>
                          </w:rPr>
                          <w:t>寸液晶电视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基础结构</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基础：75系列轻钢龙骨间距300；双层阻燃石膏板；刮腻子打磨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70</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二级造型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阻燃板石膏板刮腻子打磨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40</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基础饰面</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基膜+糯米胶+油画布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108</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展柜</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定制展柜</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美工</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展板.立体字.精工字.亚克力</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滑轨屏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定制滑轨屏，总面积10㎡，滑道长度6米，14块拼接。</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w:t>
                        </w:r>
                        <w:r>
                          <w:rPr>
                            <w:rFonts w:ascii="仿宋_GB2312" w:hAnsi="仿宋_GB2312" w:cs="仿宋_GB2312" w:eastAsia="仿宋_GB2312"/>
                            <w:sz w:val="21"/>
                            <w:color w:val="000000"/>
                          </w:rPr>
                          <w:t>≤</w:t>
                        </w:r>
                        <w:r>
                          <w:rPr>
                            <w:rFonts w:ascii="仿宋_GB2312" w:hAnsi="仿宋_GB2312" w:cs="仿宋_GB2312" w:eastAsia="仿宋_GB2312"/>
                            <w:sz w:val="20"/>
                            <w:color w:val="000000"/>
                          </w:rPr>
                          <w:t>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显示屏专用电源</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显示屏专用电源：全彩LED开关电源，转换效率超过86%，具有输出短路/过载保护，可靠性高、带载能力强，符合3C标准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接收卡</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自带≥12个HUB75接口，数据组数：≥32组，最大带载：长度≥256点，高度≥768点，支持亮度/色度校正</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视频拼接处理器</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支持≥4096*2160@60HZ信号输入，并向下兼容；最大带载1040万像素，最大带载宽度16384，最大带载高度8192；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屏玻璃</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640*3000</w:t>
                        </w:r>
                        <w:r>
                          <w:rPr>
                            <w:rFonts w:ascii="仿宋_GB2312" w:hAnsi="仿宋_GB2312" w:cs="仿宋_GB2312" w:eastAsia="仿宋_GB2312"/>
                            <w:sz w:val="20"/>
                            <w:color w:val="000000"/>
                          </w:rPr>
                          <w:t>钢化玻璃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造型立体字</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木质结构真石漆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斜坡立体字</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木质结构真石漆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个</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皮墩</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定制皮墩，高20cm以上</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个</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滑轨屏装置</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滑轨及背架</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r>
                  <w:tr>
                    <w:tc>
                      <w:tcPr>
                        <w:tcW w:type="dxa" w:w="208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0"/>
                            <w:b/>
                            <w:color w:val="000000"/>
                          </w:rPr>
                          <w:t>七、尾厅</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主结构</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基础： 75系列轻钢龙骨间距300；双层阻燃石膏板；刮腻子打磨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二级造型</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铝方通烤漆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互动留影设备</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软硬一体化设备，4K高精度摄像头。支持换背景、换装、创意拍摄等功能</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Pitch</w:t>
                        </w:r>
                        <w:r>
                          <w:rPr>
                            <w:rFonts w:ascii="仿宋_GB2312" w:hAnsi="仿宋_GB2312" w:cs="仿宋_GB2312" w:eastAsia="仿宋_GB2312"/>
                            <w:sz w:val="21"/>
                            <w:color w:val="000000"/>
                          </w:rPr>
                          <w:t>≤</w:t>
                        </w:r>
                        <w:r>
                          <w:rPr>
                            <w:rFonts w:ascii="仿宋_GB2312" w:hAnsi="仿宋_GB2312" w:cs="仿宋_GB2312" w:eastAsia="仿宋_GB2312"/>
                            <w:sz w:val="20"/>
                            <w:color w:val="000000"/>
                          </w:rPr>
                          <w:t>1.53</w:t>
                        </w:r>
                        <w:r>
                          <w:rPr>
                            <w:rFonts w:ascii="仿宋_GB2312" w:hAnsi="仿宋_GB2312" w:cs="仿宋_GB2312" w:eastAsia="仿宋_GB2312"/>
                            <w:sz w:val="20"/>
                            <w:color w:val="000000"/>
                          </w:rPr>
                          <w:t>；白平衡亮度(nit) ≥450；色温：(k)2000～15000；对比度≥8000:1。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显示屏专用电源</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显示屏专用电源：全彩LED开关电源，转换效率超过86%，具有输出短路/过载保护，可靠性高、带载能力强，符合3C标准</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接收卡</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自带≥12个HUB75接口，数据组数：≥32组，最大带载：长度≥256点，高度≥768点，支持亮度/色度校正</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视频拼接处理器</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支持≥4096*2160@60HZ信号输入，并向下兼容；最大带载1040万像素，最大带载宽度16384，最大带载高度8192；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屏玻璃</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640*3000</w:t>
                        </w:r>
                        <w:r>
                          <w:rPr>
                            <w:rFonts w:ascii="仿宋_GB2312" w:hAnsi="仿宋_GB2312" w:cs="仿宋_GB2312" w:eastAsia="仿宋_GB2312"/>
                            <w:sz w:val="20"/>
                            <w:color w:val="000000"/>
                          </w:rPr>
                          <w:t>钢化玻璃</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换衣镜</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定制换衣镜</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劳动风采互动区结构</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木质结构黑镜</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36</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4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互动区LED屏</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定制弧形屏</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r>
                </w:tbl>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核心产品:</w:t>
                  </w:r>
                </w:p>
                <w:p>
                  <w:pPr>
                    <w:pStyle w:val="null3"/>
                    <w:jc w:val="both"/>
                  </w:pPr>
                  <w:r>
                    <w:rPr>
                      <w:rFonts w:ascii="仿宋_GB2312" w:hAnsi="仿宋_GB2312" w:cs="仿宋_GB2312" w:eastAsia="仿宋_GB2312"/>
                      <w:sz w:val="20"/>
                      <w:color w:val="000000"/>
                    </w:rPr>
                    <w:t>LED</w:t>
                  </w:r>
                  <w:r>
                    <w:rPr>
                      <w:rFonts w:ascii="仿宋_GB2312" w:hAnsi="仿宋_GB2312" w:cs="仿宋_GB2312" w:eastAsia="仿宋_GB2312"/>
                      <w:sz w:val="20"/>
                      <w:color w:val="000000"/>
                    </w:rPr>
                    <w:t>显示屏</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rPr>
                    <w:t>★</w:t>
                  </w:r>
                  <w:r>
                    <w:rPr>
                      <w:rFonts w:ascii="仿宋_GB2312" w:hAnsi="仿宋_GB2312" w:cs="仿宋_GB2312" w:eastAsia="仿宋_GB2312"/>
                      <w:sz w:val="20"/>
                      <w:color w:val="000000"/>
                    </w:rPr>
                    <w:t xml:space="preserve">Pitch </w:t>
                  </w:r>
                  <w:r>
                    <w:rPr>
                      <w:rFonts w:ascii="仿宋_GB2312" w:hAnsi="仿宋_GB2312" w:cs="仿宋_GB2312" w:eastAsia="仿宋_GB2312"/>
                      <w:sz w:val="20"/>
                      <w:color w:val="000000"/>
                    </w:rPr>
                    <w:t>≤1.53；</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箱体厚度(mm) ≤60；</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箱体平整度(mm) ≤0.1；</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白平衡亮度(nit) ≥450；</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色温(k) 2000～15000；</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水平/垂直视角 160°/140°；</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rPr>
                    <w:t>★</w:t>
                  </w:r>
                  <w:r>
                    <w:rPr>
                      <w:rFonts w:ascii="仿宋_GB2312" w:hAnsi="仿宋_GB2312" w:cs="仿宋_GB2312" w:eastAsia="仿宋_GB2312"/>
                      <w:sz w:val="20"/>
                      <w:color w:val="000000"/>
                    </w:rPr>
                    <w:t>亮度均匀性 ≥95%；</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色度均匀性 ±0.003 Cx,Cy内；</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color w:val="000000"/>
                    </w:rPr>
                    <w:t>对比度 ≥8000:1；</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灰度(bit) 14～16；</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典型寿命值(hrs) ≥100,000。</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十、</w:t>
                  </w:r>
                  <w:r>
                    <w:rPr>
                      <w:rFonts w:ascii="仿宋_GB2312" w:hAnsi="仿宋_GB2312" w:cs="仿宋_GB2312" w:eastAsia="仿宋_GB2312"/>
                      <w:sz w:val="20"/>
                      <w:b/>
                      <w:color w:val="000000"/>
                    </w:rPr>
                    <w:t>施工要求</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、办公场所要求：</w:t>
                  </w:r>
                </w:p>
                <w:p>
                  <w:pPr>
                    <w:pStyle w:val="null3"/>
                    <w:jc w:val="both"/>
                  </w:pPr>
                  <w:r>
                    <w:rPr>
                      <w:rFonts w:ascii="仿宋_GB2312" w:hAnsi="仿宋_GB2312" w:cs="仿宋_GB2312" w:eastAsia="仿宋_GB2312"/>
                      <w:sz w:val="20"/>
                      <w:color w:val="000000"/>
                    </w:rPr>
                    <w:t>为保证服务的质量及便捷性，乙方应在陕西省工人疗养院设置固定项目管理部，必须配备满足项目开展的办公室、物资材料仓储室、机械设备停放场以及相应的生活区。</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、项目团队成员配备要求：</w:t>
                  </w:r>
                </w:p>
                <w:p>
                  <w:pPr>
                    <w:pStyle w:val="null3"/>
                    <w:jc w:val="both"/>
                  </w:pPr>
                  <w:r>
                    <w:rPr>
                      <w:rFonts w:ascii="仿宋_GB2312" w:hAnsi="仿宋_GB2312" w:cs="仿宋_GB2312" w:eastAsia="仿宋_GB2312"/>
                      <w:sz w:val="20"/>
                      <w:color w:val="000000"/>
                    </w:rPr>
                    <w:t>乙方应成立项目管理组织机构，要求项目组成员结构合理、分工明确，并保证项目组成员具有相应资格或职称证书，持证上岗。项目所需的机械设备及工具都为乙方自备，甲方不提供任何机械设备及工具。</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、安全文明施工要求：</w:t>
                  </w:r>
                </w:p>
                <w:p>
                  <w:pPr>
                    <w:pStyle w:val="null3"/>
                    <w:jc w:val="both"/>
                  </w:pPr>
                  <w:r>
                    <w:rPr>
                      <w:rFonts w:ascii="仿宋_GB2312" w:hAnsi="仿宋_GB2312" w:cs="仿宋_GB2312" w:eastAsia="仿宋_GB2312"/>
                      <w:sz w:val="20"/>
                      <w:color w:val="000000"/>
                    </w:rPr>
                    <w:t>必须作好施工现场组织管理、文明施工，维护现场秩序，做到工完场清、道路畅通。根据施工现场采取不同的围挡方式进行围挡作业，严禁用土头垃圾堆做防护。改造过程中土堆、废渣、垃圾等应在结束后清理完毕，做到工完料尽场地清。建筑垃圾不得随意倾倒，由乙方自行联系运至辖区地以外的建筑垃圾堆放场所并承担相应的费用。夜间应尽量减少噪音对周边居民以及企业的影响。</w:t>
                  </w:r>
                </w:p>
                <w:p>
                  <w:pPr>
                    <w:pStyle w:val="null3"/>
                    <w:jc w:val="both"/>
                  </w:pPr>
                  <w:r>
                    <w:rPr>
                      <w:rFonts w:ascii="仿宋_GB2312" w:hAnsi="仿宋_GB2312" w:cs="仿宋_GB2312" w:eastAsia="仿宋_GB2312"/>
                      <w:sz w:val="20"/>
                      <w:color w:val="000000"/>
                    </w:rPr>
                    <w:t>乙方对自有的施工人员人身及财产安全负责，对自己的人和机械设备购买保险及相应的劳保用具。维修作业人员需穿有印制统一样式的橘色醒目制服，并根据实际情况穿戴反光服、高温鞋、安全帽等安全防护用品。施工人员均应严格按照相关技术规范进行施工，做到安全施工且不影响交通。</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十一</w:t>
                  </w:r>
                  <w:r>
                    <w:rPr>
                      <w:rFonts w:ascii="仿宋_GB2312" w:hAnsi="仿宋_GB2312" w:cs="仿宋_GB2312" w:eastAsia="仿宋_GB2312"/>
                      <w:sz w:val="20"/>
                      <w:b/>
                      <w:color w:val="000000"/>
                    </w:rPr>
                    <w:t>、商务要求</w:t>
                  </w:r>
                </w:p>
                <w:p>
                  <w:pPr>
                    <w:pStyle w:val="null3"/>
                    <w:jc w:val="both"/>
                  </w:pPr>
                  <w:r>
                    <w:rPr>
                      <w:rFonts w:ascii="仿宋_GB2312" w:hAnsi="仿宋_GB2312" w:cs="仿宋_GB2312" w:eastAsia="仿宋_GB2312"/>
                      <w:sz w:val="20"/>
                      <w:color w:val="000000"/>
                    </w:rPr>
                    <w:t>本工程在合同签订后采购人向投标人支付合同总价款的</w:t>
                  </w:r>
                  <w:r>
                    <w:rPr>
                      <w:rFonts w:ascii="仿宋_GB2312" w:hAnsi="仿宋_GB2312" w:cs="仿宋_GB2312" w:eastAsia="仿宋_GB2312"/>
                      <w:sz w:val="20"/>
                      <w:color w:val="000000"/>
                    </w:rPr>
                    <w:t>50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安装、调试完成后甲方向乙方支付合同总价款的</w:t>
                  </w:r>
                  <w:r>
                    <w:rPr>
                      <w:rFonts w:ascii="仿宋_GB2312" w:hAnsi="仿宋_GB2312" w:cs="仿宋_GB2312" w:eastAsia="仿宋_GB2312"/>
                      <w:sz w:val="20"/>
                      <w:color w:val="000000"/>
                    </w:rPr>
                    <w:t>35%</w:t>
                  </w:r>
                  <w:r>
                    <w:rPr>
                      <w:rFonts w:ascii="仿宋_GB2312" w:hAnsi="仿宋_GB2312" w:cs="仿宋_GB2312" w:eastAsia="仿宋_GB2312"/>
                      <w:sz w:val="20"/>
                      <w:color w:val="000000"/>
                    </w:rPr>
                    <w:t>；</w:t>
                  </w:r>
                  <w:r>
                    <w:rPr>
                      <w:rFonts w:ascii="仿宋_GB2312" w:hAnsi="仿宋_GB2312" w:cs="仿宋_GB2312" w:eastAsia="仿宋_GB2312"/>
                      <w:sz w:val="20"/>
                      <w:color w:val="000000"/>
                    </w:rPr>
                    <w:t>项目验收合格后甲方向乙方支付合同总价款的</w:t>
                  </w:r>
                  <w:r>
                    <w:rPr>
                      <w:rFonts w:ascii="仿宋_GB2312" w:hAnsi="仿宋_GB2312" w:cs="仿宋_GB2312" w:eastAsia="仿宋_GB2312"/>
                      <w:sz w:val="20"/>
                      <w:color w:val="000000"/>
                    </w:rPr>
                    <w:t>15%</w:t>
                  </w:r>
                  <w:r>
                    <w:rPr>
                      <w:rFonts w:ascii="仿宋_GB2312" w:hAnsi="仿宋_GB2312" w:cs="仿宋_GB2312" w:eastAsia="仿宋_GB2312"/>
                      <w:sz w:val="20"/>
                      <w:color w:val="000000"/>
                    </w:rPr>
                    <w:t>。质保期</w:t>
                  </w:r>
                  <w:r>
                    <w:rPr>
                      <w:rFonts w:ascii="仿宋_GB2312" w:hAnsi="仿宋_GB2312" w:cs="仿宋_GB2312" w:eastAsia="仿宋_GB2312"/>
                      <w:sz w:val="20"/>
                    </w:rPr>
                    <w:t>按照国家质量保修相关条例执行</w:t>
                  </w:r>
                  <w:r>
                    <w:rPr>
                      <w:rFonts w:ascii="仿宋_GB2312" w:hAnsi="仿宋_GB2312" w:cs="仿宋_GB2312" w:eastAsia="仿宋_GB2312"/>
                      <w:sz w:val="20"/>
                      <w:color w:val="000000"/>
                    </w:rPr>
                    <w:t>。在付款前，供应商应当先开具符合采购人要求的全额发票给采购人（附详细清单）。</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十二、质量保证</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供应商必须依据磋商要求，按照有关规范施工，确保工程优良，一次性验收交接。</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供应商必须向采购人及时提供合格证及材料检验单。在征得有关方面认可后，方可进行施工，并做好相应的检验环节。</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质量保证期为各供应商承诺的期限。施工单位的售后服务要完善、可靠、及时，并派遣相关技术人员配合采购人检查、维修。</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质量验收标准或规范</w:t>
                  </w:r>
                </w:p>
                <w:p>
                  <w:pPr>
                    <w:pStyle w:val="null3"/>
                    <w:jc w:val="both"/>
                  </w:pPr>
                  <w:r>
                    <w:rPr>
                      <w:rFonts w:ascii="仿宋_GB2312" w:hAnsi="仿宋_GB2312" w:cs="仿宋_GB2312" w:eastAsia="仿宋_GB2312"/>
                      <w:sz w:val="20"/>
                      <w:color w:val="000000"/>
                    </w:rPr>
                    <w:t>国家及行业相关标准或规范</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十三</w:t>
                  </w:r>
                  <w:r>
                    <w:rPr>
                      <w:rFonts w:ascii="仿宋_GB2312" w:hAnsi="仿宋_GB2312" w:cs="仿宋_GB2312" w:eastAsia="仿宋_GB2312"/>
                      <w:sz w:val="20"/>
                      <w:b/>
                      <w:color w:val="000000"/>
                    </w:rPr>
                    <w:t>、其他</w:t>
                  </w:r>
                </w:p>
                <w:p>
                  <w:pPr>
                    <w:pStyle w:val="null3"/>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质量验收标准或规范</w:t>
                  </w:r>
                </w:p>
                <w:p>
                  <w:pPr>
                    <w:pStyle w:val="null3"/>
                    <w:jc w:val="both"/>
                  </w:pPr>
                  <w:r>
                    <w:rPr>
                      <w:rFonts w:ascii="仿宋_GB2312" w:hAnsi="仿宋_GB2312" w:cs="仿宋_GB2312" w:eastAsia="仿宋_GB2312"/>
                      <w:sz w:val="20"/>
                      <w:color w:val="000000"/>
                    </w:rPr>
                    <w:t>国家及行业相关标准或规范</w:t>
                  </w:r>
                </w:p>
                <w:p>
                  <w:pPr>
                    <w:pStyle w:val="null3"/>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违约责任</w:t>
                  </w:r>
                </w:p>
                <w:p>
                  <w:pPr>
                    <w:pStyle w:val="null3"/>
                  </w:pPr>
                  <w:r>
                    <w:rPr>
                      <w:rFonts w:ascii="仿宋_GB2312" w:hAnsi="仿宋_GB2312" w:cs="仿宋_GB2312" w:eastAsia="仿宋_GB2312"/>
                      <w:sz w:val="20"/>
                    </w:rPr>
                    <w:t>依据《中华人民共和国民法典》、《中华人民共和国政府采购法》的相关条款约定执行。</w:t>
                  </w:r>
                </w:p>
                <w:p>
                  <w:pPr>
                    <w:pStyle w:val="null3"/>
                  </w:pPr>
                  <w:r>
                    <w:rPr>
                      <w:rFonts w:ascii="仿宋_GB2312" w:hAnsi="仿宋_GB2312" w:cs="仿宋_GB2312" w:eastAsia="仿宋_GB2312"/>
                      <w:sz w:val="20"/>
                    </w:rPr>
                    <w:t>1</w:t>
                  </w:r>
                  <w:r>
                    <w:rPr>
                      <w:rFonts w:ascii="仿宋_GB2312" w:hAnsi="仿宋_GB2312" w:cs="仿宋_GB2312" w:eastAsia="仿宋_GB2312"/>
                      <w:sz w:val="20"/>
                    </w:rPr>
                    <w:t>、发包人违约。当发生下列情况时：</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）发包人不按合同约定支付工程款，导致施工无法进行；</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）发包人不履行合同义务或不按合同约定履行义务的其他情况。</w:t>
                  </w:r>
                </w:p>
                <w:p>
                  <w:pPr>
                    <w:pStyle w:val="null3"/>
                  </w:pPr>
                  <w:r>
                    <w:rPr>
                      <w:rFonts w:ascii="仿宋_GB2312" w:hAnsi="仿宋_GB2312" w:cs="仿宋_GB2312" w:eastAsia="仿宋_GB2312"/>
                      <w:sz w:val="20"/>
                    </w:rPr>
                    <w:t>发包人承担违约责任，赔偿因其违约给承包人造成的经济损失，顺延延误的工期。双方在专用条款内约定发包人赔偿承包人损失的计算方法或者发包人应当支付违约金的数额和计算方法。</w:t>
                  </w:r>
                </w:p>
                <w:p>
                  <w:pPr>
                    <w:pStyle w:val="null3"/>
                  </w:pPr>
                  <w:r>
                    <w:rPr>
                      <w:rFonts w:ascii="仿宋_GB2312" w:hAnsi="仿宋_GB2312" w:cs="仿宋_GB2312" w:eastAsia="仿宋_GB2312"/>
                      <w:sz w:val="20"/>
                    </w:rPr>
                    <w:t>2</w:t>
                  </w:r>
                  <w:r>
                    <w:rPr>
                      <w:rFonts w:ascii="仿宋_GB2312" w:hAnsi="仿宋_GB2312" w:cs="仿宋_GB2312" w:eastAsia="仿宋_GB2312"/>
                      <w:sz w:val="20"/>
                    </w:rPr>
                    <w:t>、承包人违约。当发生下列情况时：</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）因承包人原因不能按照协议书约定的竣工日期或工程师同意顺延的工期竣工；</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）因承包人原因工程质量达不到协议书约定的质量标准；</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）承包人不履行合同义务或不按合同约定履行义务的其他情况。</w:t>
                  </w:r>
                </w:p>
                <w:p>
                  <w:pPr>
                    <w:pStyle w:val="null3"/>
                  </w:pPr>
                  <w:r>
                    <w:rPr>
                      <w:rFonts w:ascii="仿宋_GB2312" w:hAnsi="仿宋_GB2312" w:cs="仿宋_GB2312" w:eastAsia="仿宋_GB2312"/>
                      <w:sz w:val="20"/>
                    </w:rPr>
                    <w:t>承包人承担违约责任，赔偿因其违约给发包人造成的损失。双方在专用条款内约定承包人赔偿发包人损失的计算方法或者承包人应当支付违约金的数额和计算方法。一方违约后，另一方要求违约方继续履行合同时，违约方承担上述违约责任后仍应继续履行合同。</w:t>
                  </w:r>
                </w:p>
                <w:p>
                  <w:pPr>
                    <w:pStyle w:val="null3"/>
                  </w:pPr>
                  <w:r>
                    <w:rPr>
                      <w:rFonts w:ascii="仿宋_GB2312" w:hAnsi="仿宋_GB2312" w:cs="仿宋_GB2312" w:eastAsia="仿宋_GB2312"/>
                      <w:sz w:val="20"/>
                    </w:rPr>
                    <w:t>（三）因不可抗力导致的工程终止，由施工单位承担相应损失。</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十四</w:t>
                  </w:r>
                  <w:r>
                    <w:rPr>
                      <w:rFonts w:ascii="仿宋_GB2312" w:hAnsi="仿宋_GB2312" w:cs="仿宋_GB2312" w:eastAsia="仿宋_GB2312"/>
                      <w:sz w:val="20"/>
                      <w:b/>
                    </w:rPr>
                    <w:t>、</w:t>
                  </w:r>
                  <w:r>
                    <w:rPr>
                      <w:rFonts w:ascii="仿宋_GB2312" w:hAnsi="仿宋_GB2312" w:cs="仿宋_GB2312" w:eastAsia="仿宋_GB2312"/>
                      <w:sz w:val="20"/>
                      <w:b/>
                      <w:color w:val="000000"/>
                    </w:rPr>
                    <w:t>说明：</w:t>
                  </w:r>
                </w:p>
                <w:p>
                  <w:pPr>
                    <w:pStyle w:val="null3"/>
                  </w:pPr>
                  <w:r>
                    <w:rPr>
                      <w:rFonts w:ascii="仿宋_GB2312" w:hAnsi="仿宋_GB2312" w:cs="仿宋_GB2312" w:eastAsia="仿宋_GB2312"/>
                      <w:sz w:val="20"/>
                      <w:color w:val="000000"/>
                    </w:rPr>
                    <w:t>本项目施工过程和成果必须符合国家有关本项目建设标准强制性条文和国家或有关部门关于本项目施工方面现行的标准、规范、规程、定额、办法、示例，以及陕西省关于工程施工方面的文件、规定。</w:t>
                  </w:r>
                </w:p>
                <w:p>
                  <w:pPr>
                    <w:pStyle w:val="null3"/>
                  </w:pPr>
                  <w:r>
                    <w:rPr>
                      <w:rFonts w:ascii="仿宋_GB2312" w:hAnsi="仿宋_GB2312" w:cs="仿宋_GB2312" w:eastAsia="仿宋_GB2312"/>
                      <w:sz w:val="20"/>
                      <w:color w:val="000000"/>
                    </w:rPr>
                    <w:t>承包人在施工过程中使用或参考上述标准、规范以外的技术标准、规范时，应征得发包人或发包人指定代表人的同意。</w:t>
                  </w:r>
                </w:p>
                <w:p>
                  <w:pPr>
                    <w:pStyle w:val="null3"/>
                    <w:jc w:val="both"/>
                  </w:pPr>
                  <w:r>
                    <w:rPr>
                      <w:rFonts w:ascii="仿宋_GB2312" w:hAnsi="仿宋_GB2312" w:cs="仿宋_GB2312" w:eastAsia="仿宋_GB2312"/>
                      <w:sz w:val="20"/>
                      <w:color w:val="000000"/>
                    </w:rPr>
                    <w:t>在施工过程中，如果国家或有关部门颁布了新的技术标准或规范，则承包人应采用新的标准或规范进行施工。</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十五</w:t>
                  </w:r>
                  <w:r>
                    <w:rPr>
                      <w:rFonts w:ascii="仿宋_GB2312" w:hAnsi="仿宋_GB2312" w:cs="仿宋_GB2312" w:eastAsia="仿宋_GB2312"/>
                      <w:sz w:val="21"/>
                      <w:b/>
                      <w:color w:val="000000"/>
                    </w:rPr>
                    <w:t>、工程量清单（见附件</w:t>
                  </w:r>
                  <w:r>
                    <w:rPr>
                      <w:rFonts w:ascii="仿宋_GB2312" w:hAnsi="仿宋_GB2312" w:cs="仿宋_GB2312" w:eastAsia="仿宋_GB2312"/>
                      <w:sz w:val="21"/>
                      <w:b/>
                      <w:color w:val="000000"/>
                    </w:rPr>
                    <w:t>：陕西省工人疗养院工运史馆数字化展厅(即中华全国总工会成立100周年展)001[2025-4-20 22：45].SXZB</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w:t>
                  </w:r>
                  <w:r>
                    <w:rPr>
                      <w:rFonts w:ascii="仿宋_GB2312" w:hAnsi="仿宋_GB2312" w:cs="仿宋_GB2312" w:eastAsia="仿宋_GB2312"/>
                      <w:sz w:val="20"/>
                      <w:b/>
                      <w:color w:val="000000"/>
                    </w:rPr>
                    <w:t>工程量清单报价格式（使用广联达软件进行工程量清单组价，投标时</w:t>
                  </w:r>
                  <w:r>
                    <w:rPr>
                      <w:rFonts w:ascii="仿宋_GB2312" w:hAnsi="仿宋_GB2312" w:cs="仿宋_GB2312" w:eastAsia="仿宋_GB2312"/>
                      <w:sz w:val="20"/>
                      <w:b/>
                      <w:color w:val="000000"/>
                    </w:rPr>
                    <w:t>上传</w:t>
                  </w:r>
                  <w:r>
                    <w:rPr>
                      <w:rFonts w:ascii="仿宋_GB2312" w:hAnsi="仿宋_GB2312" w:cs="仿宋_GB2312" w:eastAsia="仿宋_GB2312"/>
                      <w:sz w:val="20"/>
                      <w:b/>
                      <w:color w:val="000000"/>
                    </w:rPr>
                    <w:t>按照广联达软件自动生成的</w:t>
                  </w:r>
                  <w:r>
                    <w:rPr>
                      <w:rFonts w:ascii="仿宋_GB2312" w:hAnsi="仿宋_GB2312" w:cs="仿宋_GB2312" w:eastAsia="仿宋_GB2312"/>
                      <w:sz w:val="20"/>
                      <w:b/>
                      <w:color w:val="000000"/>
                    </w:rPr>
                    <w:t>投标文件</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满足采购人要求及施工要求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为顺利推进政府采购电子化交易平台试点应用工作，供应商需要在线提交所有通过电子化交易平台实施的政府采购项目的响应文件，同时线下递交密封后的纸质文件（提供的纸质文件必须与在陕西省政府采购综合管理平台的项目电子化交易系统中递交的电子响应文件内容一致），包含：响应文件贰套、电子版壹份（U盘，Word格式以及签字盖章后扫描的PDF格式，标明响应单位名称）； 3、线下纸质文件递交截止时间：同在线递交电子响应文件截止时间一致；线下递交文件地点：陕西中经招标有限公司（陕西省西安市碑林区长安北路8B高速经纬大厦16层）。纸质投标文件可邮件递交，应于递交投标文件载止时间前邮寄到代理机构，收件人：王婷；联系电话：029-87888601、029-87888602转8003；注：请发顺丰快递，其他快递此地址无法送达。 4、逾期送达的纸质文件按无效磋商处理。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资格审查</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企业资质：供应商须同时具备电子与智能化工程专业承包二级（含）以上资质和建筑装修装饰工程专业承包二级（含）以上资质，并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拒绝政府采购领域商业贿赂承诺书.docx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名称字章</w:t>
            </w:r>
          </w:p>
        </w:tc>
        <w:tc>
          <w:tcPr>
            <w:tcW w:type="dxa" w:w="3322"/>
          </w:tcPr>
          <w:p>
            <w:pPr>
              <w:pStyle w:val="null3"/>
            </w:pPr>
            <w:r>
              <w:rPr>
                <w:rFonts w:ascii="仿宋_GB2312" w:hAnsi="仿宋_GB2312" w:cs="仿宋_GB2312" w:eastAsia="仿宋_GB2312"/>
              </w:rPr>
              <w:t>供应商名称字章是一致</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供应商响应文件的签字盖章是否按照招标文件要求进行的</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磋商有效期是否满足磋商文件最低要求90天</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磋商报价是否唯一有效且报价未超过采购预算</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商务和技术要求是否满足实质性要求</w:t>
            </w:r>
          </w:p>
        </w:tc>
        <w:tc>
          <w:tcPr>
            <w:tcW w:type="dxa" w:w="3322"/>
          </w:tcPr>
          <w:p>
            <w:pPr>
              <w:pStyle w:val="null3"/>
            </w:pPr>
            <w:r>
              <w:rPr>
                <w:rFonts w:ascii="仿宋_GB2312" w:hAnsi="仿宋_GB2312" w:cs="仿宋_GB2312" w:eastAsia="仿宋_GB2312"/>
              </w:rPr>
              <w:t>质保期、付款方式、工期、核心产品加“★”号参数是否响应招标要求。</w:t>
            </w:r>
          </w:p>
        </w:tc>
        <w:tc>
          <w:tcPr>
            <w:tcW w:type="dxa" w:w="1661"/>
          </w:tcPr>
          <w:p>
            <w:pPr>
              <w:pStyle w:val="null3"/>
            </w:pPr>
            <w:r>
              <w:rPr>
                <w:rFonts w:ascii="仿宋_GB2312" w:hAnsi="仿宋_GB2312" w:cs="仿宋_GB2312" w:eastAsia="仿宋_GB2312"/>
              </w:rPr>
              <w:t>工期服务承诺.docx 保证金凭证复印件.docx 施工组织设计.docx 商务响应表.docx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展厅设计</w:t>
            </w:r>
          </w:p>
        </w:tc>
        <w:tc>
          <w:tcPr>
            <w:tcW w:type="dxa" w:w="2492"/>
          </w:tcPr>
          <w:p>
            <w:pPr>
              <w:pStyle w:val="null3"/>
            </w:pPr>
            <w:r>
              <w:rPr>
                <w:rFonts w:ascii="仿宋_GB2312" w:hAnsi="仿宋_GB2312" w:cs="仿宋_GB2312" w:eastAsia="仿宋_GB2312"/>
              </w:rPr>
              <w:t>供应商提供本项目展厅设计方案。 设计方案的独特性、新颖性得0.1-2分。 能够体现展厅的主题和特色得0.1-3分。 能够提供展厅整体效果图得得0.1-3分。 本项共计8分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功能布局</w:t>
            </w:r>
          </w:p>
        </w:tc>
        <w:tc>
          <w:tcPr>
            <w:tcW w:type="dxa" w:w="2492"/>
          </w:tcPr>
          <w:p>
            <w:pPr>
              <w:pStyle w:val="null3"/>
            </w:pPr>
            <w:r>
              <w:rPr>
                <w:rFonts w:ascii="仿宋_GB2312" w:hAnsi="仿宋_GB2312" w:cs="仿宋_GB2312" w:eastAsia="仿宋_GB2312"/>
              </w:rPr>
              <w:t>展厅建设方案满足展厅的功能需求，具有合理的布局，具有丰富的空间层次感赋分0.1-3分。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视觉效果</w:t>
            </w:r>
          </w:p>
        </w:tc>
        <w:tc>
          <w:tcPr>
            <w:tcW w:type="dxa" w:w="2492"/>
          </w:tcPr>
          <w:p>
            <w:pPr>
              <w:pStyle w:val="null3"/>
            </w:pPr>
            <w:r>
              <w:rPr>
                <w:rFonts w:ascii="仿宋_GB2312" w:hAnsi="仿宋_GB2312" w:cs="仿宋_GB2312" w:eastAsia="仿宋_GB2312"/>
              </w:rPr>
              <w:t>建设方案中的色彩搭配能够体现展厅的主题风格得0.1-2分； 材料运用恰当，是否能够体现环保、可持续性得0.1-2分。 本项共计4分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互动体验</w:t>
            </w:r>
          </w:p>
        </w:tc>
        <w:tc>
          <w:tcPr>
            <w:tcW w:type="dxa" w:w="2492"/>
          </w:tcPr>
          <w:p>
            <w:pPr>
              <w:pStyle w:val="null3"/>
            </w:pPr>
            <w:r>
              <w:rPr>
                <w:rFonts w:ascii="仿宋_GB2312" w:hAnsi="仿宋_GB2312" w:cs="仿宋_GB2312" w:eastAsia="仿宋_GB2312"/>
              </w:rPr>
              <w:t>建设方案是否具有互动性，是否能够增强参观者的参与感，根据内容得0.1-2分； 建设方案是否具有体验性，是否能够提供丰富的参观体验，根据内容得0.1-3分。 本项共计5分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产品技术响应</w:t>
            </w:r>
          </w:p>
        </w:tc>
        <w:tc>
          <w:tcPr>
            <w:tcW w:type="dxa" w:w="2492"/>
          </w:tcPr>
          <w:p>
            <w:pPr>
              <w:pStyle w:val="null3"/>
            </w:pPr>
            <w:r>
              <w:rPr>
                <w:rFonts w:ascii="仿宋_GB2312" w:hAnsi="仿宋_GB2312" w:cs="仿宋_GB2312" w:eastAsia="仿宋_GB2312"/>
              </w:rPr>
              <w:t>所投的设备产品的技术参数和要求完全符合、响应磋商文件要求。（评审依据不限于所投产品检测报告、测试报告、产品图样,所投产品技术参数响应表等进行评分）。没有负偏离的得 5 分，有1项负偏离扣0.5分，扣完为止。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供应商提供本项目施工方案，包含：①施工工艺、②施工方法、③交叉施工措施，以上方案每提供一项，每项根据方案的完整行、可实施性、针对性计0.1-2分，未提供不计分。本项共计6分。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供应商提供针对本项目的质量管理方案，包含：①质量管理体系、②质量保证措施，根据质量管理体系的健全性，内容完整性和目标清晰性、针对性，计0.1-1分；根据质量保证措施合理性和可操作性，计0.1-1分。本项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供应商提供针对本项目的安全管理方案，包含：①安全管理体系与措施、②安全文明施工措施、③安全教育及培训计划、④安全防护措施，以上方案每提供一项，每项根据方案的完整行、可实施性、针对性计0.1-1分，未提供不计分。本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高空作业</w:t>
            </w:r>
          </w:p>
        </w:tc>
        <w:tc>
          <w:tcPr>
            <w:tcW w:type="dxa" w:w="2492"/>
          </w:tcPr>
          <w:p>
            <w:pPr>
              <w:pStyle w:val="null3"/>
            </w:pPr>
            <w:r>
              <w:rPr>
                <w:rFonts w:ascii="仿宋_GB2312" w:hAnsi="仿宋_GB2312" w:cs="仿宋_GB2312" w:eastAsia="仿宋_GB2312"/>
              </w:rPr>
              <w:t>提供针对本项目的高空作业安全防护措施，根据供应商提供的高空作业安全防护措施的详细程度及可行性计0-2分。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环保方案</w:t>
            </w:r>
          </w:p>
        </w:tc>
        <w:tc>
          <w:tcPr>
            <w:tcW w:type="dxa" w:w="2492"/>
          </w:tcPr>
          <w:p>
            <w:pPr>
              <w:pStyle w:val="null3"/>
            </w:pPr>
            <w:r>
              <w:rPr>
                <w:rFonts w:ascii="仿宋_GB2312" w:hAnsi="仿宋_GB2312" w:cs="仿宋_GB2312" w:eastAsia="仿宋_GB2312"/>
              </w:rPr>
              <w:t>供应商提供针对本项目的环保方案，包含：①环境保护管理体系与措施，根据环境保护管理体系与措施的健全性，内容完整性和措施的可行性，计0.1-1分；②污染物处理及排放符合国家及地方环境保护标准性，根据污染物处理及排放是否符合国家及地方环境保护标准，计0.1-1分；③现场扬尘预防措施，根据现场扬尘预防措施措施的合理性和可操作性，计0.1-1分，本项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供应商提供针对本项目的人员配备方案，包含：①项目成员及架构，根据项目组配备人员的专业素质、人员结构是否合理，计0.1-2分；②根据劳动力保障措施的合理性计0.1-2分，本项共计4分。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现场成品保护措施</w:t>
            </w:r>
          </w:p>
        </w:tc>
        <w:tc>
          <w:tcPr>
            <w:tcW w:type="dxa" w:w="2492"/>
          </w:tcPr>
          <w:p>
            <w:pPr>
              <w:pStyle w:val="null3"/>
            </w:pPr>
            <w:r>
              <w:rPr>
                <w:rFonts w:ascii="仿宋_GB2312" w:hAnsi="仿宋_GB2312" w:cs="仿宋_GB2312" w:eastAsia="仿宋_GB2312"/>
              </w:rPr>
              <w:t>供应商提供针对本项目的现场成品保护措施方案，包含：①原有设施保护措施是否完整、具有针对性，计0.1-1.5分；②已完工成品保护措施是否完整、具有针对性，计0.1-1.5分。本项共计3分。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w:t>
            </w:r>
          </w:p>
        </w:tc>
        <w:tc>
          <w:tcPr>
            <w:tcW w:type="dxa" w:w="2492"/>
          </w:tcPr>
          <w:p>
            <w:pPr>
              <w:pStyle w:val="null3"/>
            </w:pPr>
            <w:r>
              <w:rPr>
                <w:rFonts w:ascii="仿宋_GB2312" w:hAnsi="仿宋_GB2312" w:cs="仿宋_GB2312" w:eastAsia="仿宋_GB2312"/>
              </w:rPr>
              <w:t>供应商提供针对本项目的施工机械及材料投入计划，包含：①施工机械投入，根据供应商提供的施工机械配备的充足度及合理性，计0.1-1分；②施工材料投入计划，根据材料投入计划的合理性，计0.1-1分。未提供不计分，本项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工期进度</w:t>
            </w:r>
          </w:p>
        </w:tc>
        <w:tc>
          <w:tcPr>
            <w:tcW w:type="dxa" w:w="2492"/>
          </w:tcPr>
          <w:p>
            <w:pPr>
              <w:pStyle w:val="null3"/>
            </w:pPr>
            <w:r>
              <w:rPr>
                <w:rFonts w:ascii="仿宋_GB2312" w:hAnsi="仿宋_GB2312" w:cs="仿宋_GB2312" w:eastAsia="仿宋_GB2312"/>
              </w:rPr>
              <w:t>供应商提供针对本项目的工期进度安排计划，包含：①保证工期实施措施方案的完整和针对性，计0.1-1分，②施工进度表或施工网络，计0.1-1分，本项共计2分。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项目主材来源渠道</w:t>
            </w:r>
          </w:p>
        </w:tc>
        <w:tc>
          <w:tcPr>
            <w:tcW w:type="dxa" w:w="2492"/>
          </w:tcPr>
          <w:p>
            <w:pPr>
              <w:pStyle w:val="null3"/>
            </w:pPr>
            <w:r>
              <w:rPr>
                <w:rFonts w:ascii="仿宋_GB2312" w:hAnsi="仿宋_GB2312" w:cs="仿宋_GB2312" w:eastAsia="仿宋_GB2312"/>
              </w:rPr>
              <w:t>主材（包含但不限于：显示设备、电子签名一体机、互动留影设备、音响系统、管理系统、智能化控制系统等）品牌明确，承诺满足本项目使用要求，均为正品行货，提供来源渠道证明材料（制造商直接投标的提供与投标设备品牌和型号相同的商标证明或检测证明或设备技术说明书等技术文件；非制造商投标的需同时提供产品制造商授权或销售协议或代理协议或原厂授权等来源渠道证明资料）每提供1种主材的证明材料计0.5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质保措施</w:t>
            </w:r>
          </w:p>
        </w:tc>
        <w:tc>
          <w:tcPr>
            <w:tcW w:type="dxa" w:w="2492"/>
          </w:tcPr>
          <w:p>
            <w:pPr>
              <w:pStyle w:val="null3"/>
            </w:pPr>
            <w:r>
              <w:rPr>
                <w:rFonts w:ascii="仿宋_GB2312" w:hAnsi="仿宋_GB2312" w:cs="仿宋_GB2312" w:eastAsia="仿宋_GB2312"/>
              </w:rPr>
              <w:t>供应商提供针对本项目质保期间的质保措施，根据各供应商提供的质保措施的详细程度及可行性计0-2分。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管理体系认证</w:t>
            </w:r>
          </w:p>
        </w:tc>
        <w:tc>
          <w:tcPr>
            <w:tcW w:type="dxa" w:w="2492"/>
          </w:tcPr>
          <w:p>
            <w:pPr>
              <w:pStyle w:val="null3"/>
            </w:pPr>
            <w:r>
              <w:rPr>
                <w:rFonts w:ascii="仿宋_GB2312" w:hAnsi="仿宋_GB2312" w:cs="仿宋_GB2312" w:eastAsia="仿宋_GB2312"/>
              </w:rPr>
              <w:t>提供信息安全管理体系认证ISO27001、信息技术服务管理体系认证ISO20000、质量管理体系认证ISO9001。每项得1分，最高得3分。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针对本项目提供售后服务方案，①根据方案的详细程度及其售后服务人员的组成与经验，计0.1-2分；②根据对处理质保问题时效性，计0.1-2分，本项共计4分。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材料，每有一项为节能设备在政府采购品目清单中并同时提供认证证书的得0.25分，每有一项为环境标志设备在政府采购品目清单中并同时提供认证证书的得0.25分，最多得1分。（提供品目清单类别复印件和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或中标通知书发出时间为准）类似项目业绩（1、提供合同或中标通知书，2、提供竣工验收单以上两条同时具备为完整业绩），提供合同复印件加盖供应商公章，每份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详见附件：保证金凭证复印件.docx</w:t>
      </w:r>
    </w:p>
    <w:p>
      <w:pPr>
        <w:pStyle w:val="null3"/>
        <w:ind w:firstLine="960"/>
      </w:pPr>
      <w:r>
        <w:rPr>
          <w:rFonts w:ascii="仿宋_GB2312" w:hAnsi="仿宋_GB2312" w:cs="仿宋_GB2312" w:eastAsia="仿宋_GB2312"/>
        </w:rPr>
        <w:t>详见附件：工期服务承诺.docx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