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版本号：DQA-2025038-ZB20250508001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陕西省“十五五”自然资源保护和利用规划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DQA-2025038-ZB</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陕西省“十五五”自然资源保护和利用规划</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DQA-2025038-ZB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陕西省“十五五”自然资源保护和利用规划</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十五五”自然资源保护和利用规划》通过系统总结“十四五”时期自然资源保护和利用工作成效，科学研判“十五五”时期的工作形势，聚焦事关全省发展大局的重点领域和薄弱环节，重点围绕优化国土空间格局、提升自然资源利用水平、提高生态系统质量和稳定性、增强重大项目支撑能力、深化自然资源领域重点改革、夯实自然资源基础支撑体系等方面，提出“十五五”时期自然资源保护和利用的工作思路、主要目标、重大战略任务、重大改革举措、重大工程项目等内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1、主体资格证明文件：提供有效存续的企业营业执照（副本）/事业单位法人证书/专业服务机构执业许可证/民办非企业单位登记证书等主体资格证明文件，自然人投标提供其身份证明文件。</w:t>
      </w:r>
    </w:p>
    <w:p>
      <w:pPr>
        <w:pStyle w:val="null3"/>
      </w:pPr>
      <w:r>
        <w:rPr>
          <w:rFonts w:ascii="仿宋_GB2312" w:hAnsi="仿宋_GB2312" w:cs="仿宋_GB2312" w:eastAsia="仿宋_GB2312"/>
        </w:rPr>
        <w:t>2、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p>
      <w:pPr>
        <w:pStyle w:val="null3"/>
      </w:pPr>
      <w:r>
        <w:rPr>
          <w:rFonts w:ascii="仿宋_GB2312" w:hAnsi="仿宋_GB2312" w:cs="仿宋_GB2312" w:eastAsia="仿宋_GB2312"/>
        </w:rPr>
        <w:t>10、专业资质证明：供应商应提供土地规划或城乡规划编制甲级资质证书。</w:t>
      </w:r>
    </w:p>
    <w:p>
      <w:pPr>
        <w:pStyle w:val="null3"/>
      </w:pPr>
      <w:r>
        <w:rPr>
          <w:rFonts w:ascii="仿宋_GB2312" w:hAnsi="仿宋_GB2312" w:cs="仿宋_GB2312" w:eastAsia="仿宋_GB2312"/>
        </w:rPr>
        <w:t>11、本项目不接受联合体磋商，不允许分包：供应商应提供《非联合体不分包磋商声明》，视为独立磋商，不分包。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029-88778153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贾旭鸣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银行账号：52880188000025295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计划委制定的《招标代理服务收费管理暂行办法》（计价格[2002]1980号）及国家发展改革委办公厅制定的《关于招标代理服务收费有关问题的通知》（发改办价格[2003]857号）等相关规定收取费用。</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联系人：贾旭鸣</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十五五”自然资源保护和利用规划》通过系统总结“十四五”时期自然资源保护和利用工作成效，科学研判“十五五”时期的工作形势，聚焦事关全省发展大局的重点领域和薄弱环节，重点围绕优化国土空间格局、提升自然资源利用水平、提高生态系统质量和稳定性、增强重大项目支撑能力、深化自然资源领域重点改革、夯实自然资源基础支撑体系等方面，提出“十五五”时期自然资源保护和利用的工作思路、主要目标、重大战略任务、重大改革举措、重大工程项目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1,300,000.00</w:t>
      </w:r>
    </w:p>
    <w:p>
      <w:pPr>
        <w:pStyle w:val="null3"/>
      </w:pPr>
      <w:r>
        <w:rPr>
          <w:rFonts w:ascii="仿宋_GB2312" w:hAnsi="仿宋_GB2312" w:cs="仿宋_GB2312" w:eastAsia="仿宋_GB2312"/>
        </w:rPr>
        <w:t>采购包最高限价（元）: 1,300,000.00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陕西省“十五五”自然资源保护和利用规划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标的名称：陕西省“十五五”自然资源保护和利用规划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w:t>
            </w:r>
            <w:r>
              <w:rPr>
                <w:rFonts w:ascii="仿宋_GB2312" w:hAnsi="仿宋_GB2312" w:cs="仿宋_GB2312" w:eastAsia="仿宋_GB2312"/>
                <w:sz w:val="24"/>
              </w:rPr>
              <w:t>项目背景</w:t>
            </w:r>
          </w:p>
          <w:p>
            <w:pPr>
              <w:pStyle w:val="null3"/>
              <w:jc w:val="both"/>
            </w:pPr>
            <w:r>
              <w:rPr>
                <w:rFonts w:ascii="仿宋_GB2312" w:hAnsi="仿宋_GB2312" w:cs="仿宋_GB2312" w:eastAsia="仿宋_GB2312"/>
                <w:sz w:val="24"/>
              </w:rPr>
              <w:t>自然资源是人类社会赖以生存和发展的重要物质基础，全面提升自然资源保护和利用水平是</w:t>
            </w:r>
            <w:r>
              <w:rPr>
                <w:rFonts w:ascii="仿宋_GB2312" w:hAnsi="仿宋_GB2312" w:cs="仿宋_GB2312" w:eastAsia="仿宋_GB2312"/>
                <w:sz w:val="24"/>
              </w:rPr>
              <w:t>“十五五”期间经济社会发展的一项重要战略任务。按照国家、省“十五五”规划编制工作要求，启动《陕西省“十五五”自然资源保护和利用规划》编制，该规划是陕西省“十五五”一般专项规划，是指导做好我省“十五五”时期自然资源保护和利用工作的基本依据和行动纲领。</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b/>
              </w:rPr>
              <w:t>二、</w:t>
            </w:r>
            <w:r>
              <w:rPr>
                <w:rFonts w:ascii="仿宋_GB2312" w:hAnsi="仿宋_GB2312" w:cs="仿宋_GB2312" w:eastAsia="仿宋_GB2312"/>
                <w:sz w:val="24"/>
                <w:b/>
              </w:rPr>
              <w:t>主要任务</w:t>
            </w:r>
          </w:p>
          <w:p>
            <w:pPr>
              <w:pStyle w:val="null3"/>
              <w:ind w:firstLine="480"/>
            </w:pPr>
            <w:r>
              <w:rPr>
                <w:rFonts w:ascii="仿宋_GB2312" w:hAnsi="仿宋_GB2312" w:cs="仿宋_GB2312" w:eastAsia="仿宋_GB2312"/>
                <w:sz w:val="24"/>
              </w:rPr>
              <w:t>（一）组织开展重大课题研究。参照自然资源部</w:t>
            </w:r>
            <w:r>
              <w:rPr>
                <w:rFonts w:ascii="仿宋_GB2312" w:hAnsi="仿宋_GB2312" w:cs="仿宋_GB2312" w:eastAsia="仿宋_GB2312"/>
                <w:sz w:val="24"/>
              </w:rPr>
              <w:t>“十五五”规划重大课题研究部署情况，结合陕西省实际，围绕全省自然资源领域全局性、关键性问题，设置11个重大课题，通过重大课题研究，夯实《规划》编制工作基础。</w:t>
            </w:r>
          </w:p>
          <w:p>
            <w:pPr>
              <w:pStyle w:val="null3"/>
              <w:ind w:firstLine="480"/>
            </w:pPr>
            <w:r>
              <w:rPr>
                <w:rFonts w:ascii="仿宋_GB2312" w:hAnsi="仿宋_GB2312" w:cs="仿宋_GB2312" w:eastAsia="仿宋_GB2312"/>
                <w:sz w:val="24"/>
              </w:rPr>
              <w:t>（二）形成《规划》基本思路。综合重大课题研究成果，系统总结</w:t>
            </w:r>
            <w:r>
              <w:rPr>
                <w:rFonts w:ascii="仿宋_GB2312" w:hAnsi="仿宋_GB2312" w:cs="仿宋_GB2312" w:eastAsia="仿宋_GB2312"/>
                <w:sz w:val="24"/>
              </w:rPr>
              <w:t>“十四五”时期自然资源保护和利用工作成效，科学研判“十五五”时期的工作形势，聚焦事关全省发展大局的重点领域和薄弱环节，提炼形成《规划》的基本思路，明确发展思路、主要目标、指导原则、重大战略任务、重大改革举措。</w:t>
            </w:r>
          </w:p>
          <w:p>
            <w:pPr>
              <w:pStyle w:val="null3"/>
              <w:ind w:firstLine="480"/>
            </w:pPr>
            <w:r>
              <w:rPr>
                <w:rFonts w:ascii="仿宋_GB2312" w:hAnsi="仿宋_GB2312" w:cs="仿宋_GB2312" w:eastAsia="仿宋_GB2312"/>
                <w:sz w:val="24"/>
              </w:rPr>
              <w:t>（三）谋划重大工程项目。提出单体重大工程项目意见建议，统筹研究打捆项目的建设内容、总体布局、子项目标准，配合省发展改革委做好自然资源领域重大工程项目整合、遴选工作。</w:t>
            </w:r>
          </w:p>
          <w:p>
            <w:pPr>
              <w:pStyle w:val="null3"/>
              <w:ind w:firstLine="480"/>
            </w:pPr>
            <w:r>
              <w:rPr>
                <w:rFonts w:ascii="仿宋_GB2312" w:hAnsi="仿宋_GB2312" w:cs="仿宋_GB2312" w:eastAsia="仿宋_GB2312"/>
                <w:sz w:val="24"/>
              </w:rPr>
              <w:t>（四）组织编制《规划》文本。按照国家、省</w:t>
            </w:r>
            <w:r>
              <w:rPr>
                <w:rFonts w:ascii="仿宋_GB2312" w:hAnsi="仿宋_GB2312" w:cs="仿宋_GB2312" w:eastAsia="仿宋_GB2312"/>
                <w:sz w:val="24"/>
              </w:rPr>
              <w:t>“十五五”规划编制工作安排和进度要求，形成《规划》文本，提出“十五五”自然资源保护和利用主要指标、重大战略任务、重大改革举措和重大工程项目，并进行深入论证，增强可操作性。围绕陕西省“十五五”规划纲要编制，针对自然资源领域积极提出意见建议。</w:t>
            </w:r>
          </w:p>
          <w:p>
            <w:pPr>
              <w:pStyle w:val="null3"/>
              <w:jc w:val="both"/>
            </w:pPr>
            <w:r>
              <w:rPr>
                <w:rFonts w:ascii="仿宋_GB2312" w:hAnsi="仿宋_GB2312" w:cs="仿宋_GB2312" w:eastAsia="仿宋_GB2312"/>
                <w:sz w:val="24"/>
              </w:rPr>
              <w:t>（五）完成《规划》文本报批。加强与发展改革、财政、生态环境、水利、农业农村、林业等部门沟通协调，凝聚共识，统筹部署自然资源调查监测、自然资源开发利用、生态系统保护修复等重大任务。加强上下衔接，实现国家和地方</w:t>
            </w:r>
            <w:r>
              <w:rPr>
                <w:rFonts w:ascii="仿宋_GB2312" w:hAnsi="仿宋_GB2312" w:cs="仿宋_GB2312" w:eastAsia="仿宋_GB2312"/>
                <w:sz w:val="24"/>
              </w:rPr>
              <w:t>“十五五”重要目标指标的顺畅传导，重大任务、重大工程的协调配套。征求相关部门意见，按程序完成《规划》文本报批。</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b/>
              </w:rPr>
              <w:t>三、</w:t>
            </w:r>
            <w:r>
              <w:rPr>
                <w:rFonts w:ascii="仿宋_GB2312" w:hAnsi="仿宋_GB2312" w:cs="仿宋_GB2312" w:eastAsia="仿宋_GB2312"/>
                <w:sz w:val="24"/>
                <w:b/>
              </w:rPr>
              <w:t>工作成果要求</w:t>
            </w:r>
          </w:p>
          <w:p>
            <w:pPr>
              <w:pStyle w:val="null3"/>
              <w:ind w:firstLine="480"/>
            </w:pPr>
            <w:r>
              <w:rPr>
                <w:rFonts w:ascii="仿宋_GB2312" w:hAnsi="仿宋_GB2312" w:cs="仿宋_GB2312" w:eastAsia="仿宋_GB2312"/>
                <w:sz w:val="24"/>
              </w:rPr>
              <w:t>（一）课题研究成果。开展</w:t>
            </w:r>
            <w:r>
              <w:rPr>
                <w:rFonts w:ascii="仿宋_GB2312" w:hAnsi="仿宋_GB2312" w:cs="仿宋_GB2312" w:eastAsia="仿宋_GB2312"/>
                <w:sz w:val="24"/>
              </w:rPr>
              <w:t>11个重大课题研究，分别为：（1）“十五五”时期自然资源形势研判与战略目标研究；（2）耕地保护战略研究；（3）战略性矿产找矿工作布局研究；（4）构建国土空间开发保护新格局研究；（5）健全国土空间用途管制制度研究；（6）自然资源节约集约利用研究；（7）生态保护修复战略研究；（8）地质勘查行业改革发展研究；（9）完善自然资源资产管理制度体系研究；（10）自然资源统一调查监测评价工作格局研究；（11）自然资源信息化战略研究。</w:t>
            </w:r>
          </w:p>
          <w:p>
            <w:pPr>
              <w:pStyle w:val="null3"/>
              <w:jc w:val="both"/>
            </w:pPr>
            <w:r>
              <w:rPr>
                <w:rFonts w:ascii="仿宋_GB2312" w:hAnsi="仿宋_GB2312" w:cs="仿宋_GB2312" w:eastAsia="仿宋_GB2312"/>
                <w:sz w:val="24"/>
              </w:rPr>
              <w:t>（二）规划编制成果。规划编制成果包括文本、图件及其他相关材料，其中文本包含自然资源保护和利用现状形势要求、总体目标、主要指标、重大战略任务、重大改革措施和重大工程项目等内容；图件包含土地利用现状示意图、森林覆盖示意图、水系分布示意图、</w:t>
            </w:r>
            <w:r>
              <w:rPr>
                <w:rFonts w:ascii="仿宋_GB2312" w:hAnsi="仿宋_GB2312" w:cs="仿宋_GB2312" w:eastAsia="仿宋_GB2312"/>
                <w:sz w:val="24"/>
              </w:rPr>
              <w:t>“十五五”国土空间开发保护格局示意图、“十五五”生态修复重点工程示意图、“十五五”矿产资源勘察开发保护示意图、“十五五”地质灾害防治示意图等；其他材料包括《规划》编制中形成的基础资料、会议纪要、部门意见、地方意见、专家论证意见、公众参与记录等文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4"/>
                <w:b/>
              </w:rPr>
              <w:t>四、其他要求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）服务要求：及时响应甲方相关需求。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）安全要求：按相关管理规定执行，确保数据和过程成果安全。</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投标供应商须提供针对本项目的详细人员配备情况。要求拟派项目成员相关专业人员搭配合理、职能健全，岗位分工明确、职责清晰，包括人员配备情况及水平、人员安排、专业配置、从业经历、参与工作经验等方面，均应满足本项目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提供具有履行本合同所必需的设备。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1.成交人按采购人要求,按时完成工作内容。 2.成交人在项目实施过程中,必须严格遵守采购人的相关管理制度,并按照要求签订保密协议,不得有泄密、人为损坏采购人设备及工作成果、不遵守工作纪律等不法行为,由此造成的一切后果及法律责任由成交人承担。 3.成交人必须严格按照采购人要求实施项目,并对采购人提出的需求予以及时响应,如有工作进度缓慢、项目成果屡次不符合要求(两次以上，不含两次)、不能按时完成任务、不遵守工作纪律等情况,采购人有权要求成交人进行及时整改。情节严重的,将予以罚款。 4.本项目自成交人中标之日起至成果提交验收合格日止，成交人将负责项目实施过程中的人身安全、财产安全、环境安全等一切安全责任。因项目实施过程中造成的直接或间接损失，均由成交人自行承担。 5.本项目工作数据若涉及保密数据，成交人工作过程中应严格按照国家保密工作规程操作，以保障对整个工作成果及接触到的相关工作资料进行保密。 6.实际项目执行过程中,成交人违反上述规定的,采购人有权要求成交人退回项目经费,由此带来的一切后果由成交人承担。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自合同签订之日起至2026年7月31日前交付最终成果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服务期满后，由中标人向采购人递交验收通知书，经采购人确认后，组织中标人进行项目整体验收。验收合格后，填写政府采购项目验收单作为对本次服务的最终认可。</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合同签订后，乙方以预付款到账时间作为项目组正式进入现场时间</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规划编制完成并通过专家评审后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规划上报省级人民政府并批准后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供应商需要在线提交所有通过电子化交易平台实施的政府采购项目的投标文件，同时，线下提交纸质投标文件正本壹份、副本壹份。若电子投标文件与纸质投标文件不一致的，以电子投标文件为准。（2）投标文件，正、副本分别各自装订成册密封。在封口处加盖供应商公章。（3）线下投标文件递交截止时间与线上开评标时间一致。（4）纸质投标文件可邮寄递交，应于递交投标文件截止时间前邮寄到西安市高新区丈八一路1号汇鑫中心D座2206室（陕西德勤招标有限公司）。 2、投标保证金注意事项：（1）投标保证金须从投标供应商户名支付，如从个人户名或非投标供应商户名支付，将被拒绝，视为自动放弃投标权利（该个人是投标供应商的情形除外）；以保函形式交纳投标保证金的，投标供应商应在投标截止时间前将保函扫描成清晰的PDF文件，发送至邮箱deqinjxm@126.com（邮件命名：项目编号）；投标供应商应在投标文件中附保函扫描件。保函必须由具有开具投标保函资格的单位开具；若中标人违约，开具保函单位承担连带责任；（2）投标保证金的提交金额、时间不满足招标文件要求的，投标无效；（3）投标保证金以采购代理机构到账凭证为准，投标供应商无需更换交纳凭证，由采购代理机构统一提供。（4）未按指定账户提交的，我公司将退回，投标供应商须在文件递交截止时间前按照指定账户再次提交。 3、因文件关于合同签订时间无法修改，特在此处说明，中标人应当在中标通知书发出之日起25日内与采购人签订政府采购合同。 4、合同价款：合同总价一次性包死，不受市场价格变化因素的影响。除本合同总金额外，采购人不再支付任何其他费用。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投标文件截止时间不足一年的可提供成立后任意时段的资产负债表），或其开标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提供有效存续的企业营业执照（副本）/事业单位法人证书/专业服务机构执业许可证/民办非企业单位登记证书等主体资格证明文件，自然人投标提供其身份证明文件。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税种至少包含增值税或企业所得税），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失信主体”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法定代表人授权他人参加磋商的，须提供《法定代表人授权委托书》。响应文件中凡是需要法定代表人盖章之处，非法人单位的负责人均参照执行。法人的分支机构参与磋商时，除提供《法定代表人授权委托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专业资质证明</w:t>
            </w:r>
          </w:p>
        </w:tc>
        <w:tc>
          <w:tcPr>
            <w:tcW w:type="dxa" w:w="3322"/>
          </w:tcPr>
          <w:p>
            <w:pPr>
              <w:pStyle w:val="null3"/>
            </w:pPr>
            <w:r>
              <w:rPr>
                <w:rFonts w:ascii="仿宋_GB2312" w:hAnsi="仿宋_GB2312" w:cs="仿宋_GB2312" w:eastAsia="仿宋_GB2312"/>
              </w:rPr>
              <w:t>供应商应提供土地规划或城乡规划编制甲级资质证书。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非联合体不分包投标声明</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开标一览表</w:t>
            </w:r>
          </w:p>
        </w:tc>
        <w:tc>
          <w:tcPr>
            <w:tcW w:type="dxa" w:w="3322"/>
          </w:tcPr>
          <w:p>
            <w:pPr>
              <w:pStyle w:val="null3"/>
            </w:pPr>
            <w:r>
              <w:rPr>
                <w:rFonts w:ascii="仿宋_GB2312" w:hAnsi="仿宋_GB2312" w:cs="仿宋_GB2312" w:eastAsia="仿宋_GB2312"/>
              </w:rPr>
              <w:t>（1）投标报价符合唯一性要求； （2）开标一览表填写符合要求； （3）计量单位、报价货币均符合招标文件要求； （4）未超出采购预算或招标文件规定的最高限价。</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完全理解接受招标文件商务条款。</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保证金交纳符合招标文件要求。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无其他招标文件或法规明确规定响应无效的事项</w:t>
            </w:r>
          </w:p>
        </w:tc>
        <w:tc>
          <w:tcPr>
            <w:tcW w:type="dxa" w:w="3322"/>
          </w:tcPr>
          <w:p>
            <w:pPr>
              <w:pStyle w:val="null3"/>
            </w:pPr>
            <w:r>
              <w:rPr>
                <w:rFonts w:ascii="仿宋_GB2312" w:hAnsi="仿宋_GB2312" w:cs="仿宋_GB2312" w:eastAsia="仿宋_GB2312"/>
              </w:rPr>
              <w:t>没有不符合招标文件规定的被视为无效响应的其他条款。</w:t>
            </w:r>
          </w:p>
        </w:tc>
        <w:tc>
          <w:tcPr>
            <w:tcW w:type="dxa" w:w="1661"/>
          </w:tcPr>
          <w:p>
            <w:pPr>
              <w:pStyle w:val="null3"/>
            </w:pPr>
            <w:r>
              <w:rPr>
                <w:rFonts w:ascii="仿宋_GB2312" w:hAnsi="仿宋_GB2312" w:cs="仿宋_GB2312" w:eastAsia="仿宋_GB2312"/>
              </w:rPr>
              <w:t>开标一览表 服务内容及服务邀请应答表 保证金汇款声明函 分项报价表 中小企业声明函 商务应答表 控股管理关系 法定代表人授权书 投标人应提交的相关资格证明材料 近三年无重大违法、违纪书面声明 投标函 残疾人福利性单位声明函 服务方案 标的清单 非联合体不分包投标声明 投标文件封面 书面声明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项目背景理解</w:t>
            </w:r>
          </w:p>
        </w:tc>
        <w:tc>
          <w:tcPr>
            <w:tcW w:type="dxa" w:w="2492"/>
          </w:tcPr>
          <w:p>
            <w:pPr>
              <w:pStyle w:val="null3"/>
            </w:pPr>
            <w:r>
              <w:rPr>
                <w:rFonts w:ascii="仿宋_GB2312" w:hAnsi="仿宋_GB2312" w:cs="仿宋_GB2312" w:eastAsia="仿宋_GB2312"/>
              </w:rPr>
              <w:t>根据投标人对项目的理解情况进行评审，包括对自然资源保护和利用规划工作背景的解读和分析、对规划编制内容及服务要求的认识程度、对规划政策、形势、任务的理解等。 （1）理解准确深刻，解读层次清晰且全面系统，得4分。 （2）理解比较准确，对工作任务的解读较为全面系统，得2分。 （3）理解有所欠缺，对工作任务的解读不够全面，得1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现状认知与形势研判</w:t>
            </w:r>
          </w:p>
        </w:tc>
        <w:tc>
          <w:tcPr>
            <w:tcW w:type="dxa" w:w="2492"/>
          </w:tcPr>
          <w:p>
            <w:pPr>
              <w:pStyle w:val="null3"/>
            </w:pPr>
            <w:r>
              <w:rPr>
                <w:rFonts w:ascii="仿宋_GB2312" w:hAnsi="仿宋_GB2312" w:cs="仿宋_GB2312" w:eastAsia="仿宋_GB2312"/>
              </w:rPr>
              <w:t>根据投标人对自然资源保护发展现状和形势的研判进行评审，包括对“十四五”时期主要成效的梳理和“十五五”时期面临形势的研判。 （1）对现状和形势问题分析到位，得4分。 （2）有一定认识，现状情况掌握一般的，得2分。 （3）认识有限，现状情况掌握较差的，得1分。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规划编制技术路线</w:t>
            </w:r>
          </w:p>
        </w:tc>
        <w:tc>
          <w:tcPr>
            <w:tcW w:type="dxa" w:w="2492"/>
          </w:tcPr>
          <w:p>
            <w:pPr>
              <w:pStyle w:val="null3"/>
            </w:pPr>
            <w:r>
              <w:rPr>
                <w:rFonts w:ascii="仿宋_GB2312" w:hAnsi="仿宋_GB2312" w:cs="仿宋_GB2312" w:eastAsia="仿宋_GB2312"/>
              </w:rPr>
              <w:t>根据投标人制定的规划编制技术路线进行评审。 （1）技术路线合理可行，得5分。 （2）技术路线基本合理可行，得3分。 （3）技术路线可行性差，得2分。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相关专题研究</w:t>
            </w:r>
          </w:p>
        </w:tc>
        <w:tc>
          <w:tcPr>
            <w:tcW w:type="dxa" w:w="2492"/>
          </w:tcPr>
          <w:p>
            <w:pPr>
              <w:pStyle w:val="null3"/>
            </w:pPr>
            <w:r>
              <w:rPr>
                <w:rFonts w:ascii="仿宋_GB2312" w:hAnsi="仿宋_GB2312" w:cs="仿宋_GB2312" w:eastAsia="仿宋_GB2312"/>
              </w:rPr>
              <w:t>根据投标人对各支撑专题重点研究方向与内容进行评审。 （1）专题研究方向系统深入，能有效支撑项目开展的，得8分。 （2）专题研究方向较系统，较能有效支撑项目开展的，得5 分。 （3）专题研究方向不系统，不能支撑项目开展的，得3分。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规划编制方案</w:t>
            </w:r>
          </w:p>
        </w:tc>
        <w:tc>
          <w:tcPr>
            <w:tcW w:type="dxa" w:w="2492"/>
          </w:tcPr>
          <w:p>
            <w:pPr>
              <w:pStyle w:val="null3"/>
            </w:pPr>
            <w:r>
              <w:rPr>
                <w:rFonts w:ascii="仿宋_GB2312" w:hAnsi="仿宋_GB2312" w:cs="仿宋_GB2312" w:eastAsia="仿宋_GB2312"/>
              </w:rPr>
              <w:t>根据投标人制定的调查与规划方案进行评审。 （1）内容完全符合项目要求，合理可行，描述清楚，严谨且针对性强，能够满足采购需求，得15分。 （2）内容较符合项目要求，较合理，描述相对清楚，较为严谨，较能满足采购需求，得10分。 （3）内容不能完全符合项目要求，逻辑性差，思路不清晰，不能完全满足采购需求，得5分。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根据投标人提出的项目重点、难点进行评审。 （1）全面、准确抓住本项目的重点与难点，提出符合陕西省实际的解决思路，得8分。 （2）较全面抓住本项目的重点与难点，提出基本符合陕西省实际的解决思路，得5分。 （3）基本抓住本项目的重点与难点，提出基本符合陕西省实际的解决思路,得3分。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质量目标及保证措施</w:t>
            </w:r>
          </w:p>
        </w:tc>
        <w:tc>
          <w:tcPr>
            <w:tcW w:type="dxa" w:w="2492"/>
          </w:tcPr>
          <w:p>
            <w:pPr>
              <w:pStyle w:val="null3"/>
            </w:pPr>
            <w:r>
              <w:rPr>
                <w:rFonts w:ascii="仿宋_GB2312" w:hAnsi="仿宋_GB2312" w:cs="仿宋_GB2312" w:eastAsia="仿宋_GB2312"/>
              </w:rPr>
              <w:t>根据投标人提出的项目质量目标及保证措施进行评审。 （1）质量满足要求，措施完善合理，得6分。 （2）质量基本满足要求，措施一般，得4分。 （3）质量措施欠合理，得2分。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进度安排及控制措施</w:t>
            </w:r>
          </w:p>
        </w:tc>
        <w:tc>
          <w:tcPr>
            <w:tcW w:type="dxa" w:w="2492"/>
          </w:tcPr>
          <w:p>
            <w:pPr>
              <w:pStyle w:val="null3"/>
            </w:pPr>
            <w:r>
              <w:rPr>
                <w:rFonts w:ascii="仿宋_GB2312" w:hAnsi="仿宋_GB2312" w:cs="仿宋_GB2312" w:eastAsia="仿宋_GB2312"/>
              </w:rPr>
              <w:t>根据投标人提出的进度安排及控制措施进行评审。 （1）进度安排合理、管理控制措施科学，得6分。 （2）进度安排比较合理、管理控制措施比较科学，得4分。 （3）进度控制措施一般，得2分。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根据投标人作出的服务承诺进行评审。 （1）服务承诺切实可行，保证措施完善合理，得 4分。 （2）服务承诺较为可行，保证措施较为完善，2 分。 （3）服务承诺一般，保证措施一般，得 1 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投标人2019年1月1日至今承担过的相关项目： 承担过市级及以上“自然资源”规划及相关工作（包括但不限于规划、评价、调查类项目，项目名称或合同概况必须包含“自然资源”“耕地”“矿产”“生态修复”“国土空间规划”“国土整治”“建设用地节约集约利用”等关键词），其中：省部级及以上项目，每个得3分；地级市项目，每个得2分，最高得12分。 注：案例以提供的合同或中标（成交）通知书或任务书或任务文件等证明材料为准，未提供不得分。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（1）拟任本项目的项目负责人持有行政管理部门颁发的国土空间规划、土地规划、城市（城乡）规划等自然资源类任一专业高级工程师及以上专业技术职称资格证书的，正高级得3分，副高级得2分。 （2）拟任本项目的项目负责人在2019年1月1日以来主持或作为项目负责人完成过市级及以上自然资源保护利用、国土空间总体规划、国土空间生态修复规划、国土综合整治规划、耕地保护规划、矿产资源规划编制的，每有一个得1分，最多得3分。 注：需同时提供专业技术职称资格证书及项目合同（或任务书或任务文件），不提供不得分。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拟派本项目主要技术人员（不包括项目负责人）中应具有以下专业（含相近专业）：国土空间规划、土地规划、城市（乡）规划、农田水利工程、测绘科学、土地资源管理、土地利用评价、矿物学、地理信息系统、人文地理、生态保护等。 每具有上述专业中任意一个专业高级职称的，得1分；中级职称的得0.5分；其他或没有的不得分。本项目最高得分为8分。如一人有多个不同等级职称的，按等级较高的职称评审；如一人具有多个专业职称的，按一个专业职称评审；如多人具有同一专业职称的，按一个专业职称评审，不重复计分。 注：需提供专业技术职称资格证书复印件加盖公章，不提供不得分。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获奖情况</w:t>
            </w:r>
          </w:p>
        </w:tc>
        <w:tc>
          <w:tcPr>
            <w:tcW w:type="dxa" w:w="2492"/>
          </w:tcPr>
          <w:p>
            <w:pPr>
              <w:pStyle w:val="null3"/>
            </w:pPr>
            <w:r>
              <w:rPr>
                <w:rFonts w:ascii="仿宋_GB2312" w:hAnsi="仿宋_GB2312" w:cs="仿宋_GB2312" w:eastAsia="仿宋_GB2312"/>
              </w:rPr>
              <w:t>投标人自2019年1月1日（以获奖证书颁发时间为准）至本项目投标文件递交截止时间止，投标人获得过自然资源类相关工作奖项的，其中：获得过省级及以上奖项的，每个奖项得2分；获得过市级奖项的，每个奖项得1 分；最高得4分。 注：（需提供证书复印件加盖公章）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投标人的价格分统一按照下列公式计算：报价得分=(基准价／响应报价)×价格权值×100，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详见附件：保证金汇款声明函</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详见附件：非联合体不分包投标声明</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