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8493EA">
      <w:pPr>
        <w:ind w:firstLine="640"/>
        <w:rPr>
          <w:color w:val="auto"/>
        </w:rPr>
      </w:pPr>
    </w:p>
    <w:p w14:paraId="1C3CEFB1">
      <w:pPr>
        <w:ind w:firstLine="640"/>
        <w:rPr>
          <w:color w:val="auto"/>
        </w:rPr>
      </w:pPr>
    </w:p>
    <w:p w14:paraId="69E972F7">
      <w:pPr>
        <w:ind w:firstLine="640"/>
        <w:rPr>
          <w:color w:val="auto"/>
        </w:rPr>
      </w:pPr>
    </w:p>
    <w:p w14:paraId="34C371EB">
      <w:pPr>
        <w:ind w:firstLine="640"/>
        <w:rPr>
          <w:color w:val="auto"/>
        </w:rPr>
      </w:pPr>
    </w:p>
    <w:p w14:paraId="34591D49">
      <w:pPr>
        <w:ind w:firstLine="0" w:firstLineChars="0"/>
        <w:jc w:val="center"/>
        <w:rPr>
          <w:b/>
          <w:bCs/>
          <w:color w:val="auto"/>
          <w:sz w:val="36"/>
          <w:szCs w:val="24"/>
        </w:rPr>
      </w:pPr>
      <w:r>
        <w:rPr>
          <w:rFonts w:hint="eastAsia"/>
          <w:b/>
          <w:bCs/>
          <w:color w:val="auto"/>
          <w:sz w:val="36"/>
          <w:szCs w:val="24"/>
        </w:rPr>
        <w:t>规划设计合同</w:t>
      </w:r>
    </w:p>
    <w:p w14:paraId="06866539">
      <w:pPr>
        <w:spacing w:line="254" w:lineRule="auto"/>
        <w:ind w:firstLine="640"/>
        <w:rPr>
          <w:color w:val="auto"/>
        </w:rPr>
      </w:pPr>
    </w:p>
    <w:p w14:paraId="00704FF4">
      <w:pPr>
        <w:spacing w:line="254" w:lineRule="auto"/>
        <w:ind w:firstLine="640"/>
        <w:rPr>
          <w:color w:val="auto"/>
        </w:rPr>
      </w:pPr>
    </w:p>
    <w:p w14:paraId="6FB7E9C7">
      <w:pPr>
        <w:spacing w:line="255" w:lineRule="auto"/>
        <w:ind w:firstLine="440"/>
        <w:rPr>
          <w:color w:val="auto"/>
          <w:sz w:val="22"/>
        </w:rPr>
      </w:pPr>
    </w:p>
    <w:p w14:paraId="7D906297">
      <w:pPr>
        <w:spacing w:before="114" w:line="377" w:lineRule="auto"/>
        <w:ind w:firstLineChars="0"/>
        <w:jc w:val="center"/>
        <w:rPr>
          <w:rFonts w:hint="eastAsia" w:ascii="黑体" w:hAnsi="黑体" w:eastAsia="黑体" w:cs="仿宋"/>
          <w:color w:val="auto"/>
          <w:spacing w:val="10"/>
          <w:sz w:val="36"/>
          <w:szCs w:val="32"/>
          <w14:textOutline w14:w="6540" w14:cap="sq" w14:cmpd="sng" w14:algn="ctr">
            <w14:solidFill>
              <w14:srgbClr w14:val="000000"/>
            </w14:solidFill>
            <w14:prstDash w14:val="solid"/>
            <w14:bevel/>
          </w14:textOutline>
        </w:rPr>
      </w:pPr>
      <w:r>
        <w:rPr>
          <w:rFonts w:hint="eastAsia" w:ascii="黑体" w:hAnsi="黑体" w:eastAsia="黑体" w:cs="仿宋"/>
          <w:color w:val="auto"/>
          <w:spacing w:val="-1"/>
          <w:sz w:val="36"/>
          <w:szCs w:val="32"/>
          <w14:textOutline w14:w="6540" w14:cap="sq" w14:cmpd="sng" w14:algn="ctr">
            <w14:solidFill>
              <w14:srgbClr w14:val="000000"/>
            </w14:solidFill>
            <w14:prstDash w14:val="solid"/>
            <w14:bevel/>
          </w14:textOutline>
        </w:rPr>
        <w:t>陕西省“十五五”自然资源保护和利用规划</w:t>
      </w:r>
      <w:r>
        <w:rPr>
          <w:rFonts w:ascii="黑体" w:hAnsi="黑体" w:eastAsia="黑体" w:cs="仿宋"/>
          <w:color w:val="auto"/>
          <w:spacing w:val="10"/>
          <w:sz w:val="36"/>
          <w:szCs w:val="32"/>
          <w14:textOutline w14:w="6540" w14:cap="sq" w14:cmpd="sng" w14:algn="ctr">
            <w14:solidFill>
              <w14:srgbClr w14:val="000000"/>
            </w14:solidFill>
            <w14:prstDash w14:val="solid"/>
            <w14:bevel/>
          </w14:textOutline>
        </w:rPr>
        <w:t>编制</w:t>
      </w:r>
    </w:p>
    <w:p w14:paraId="631FED42">
      <w:pPr>
        <w:spacing w:before="114" w:line="377" w:lineRule="auto"/>
        <w:ind w:firstLineChars="0"/>
        <w:jc w:val="center"/>
        <w:rPr>
          <w:rFonts w:hint="eastAsia" w:ascii="黑体" w:hAnsi="黑体" w:eastAsia="黑体" w:cs="仿宋"/>
          <w:color w:val="auto"/>
          <w:sz w:val="36"/>
          <w:szCs w:val="32"/>
        </w:rPr>
      </w:pPr>
    </w:p>
    <w:p w14:paraId="2CE55EA9">
      <w:pPr>
        <w:spacing w:before="114" w:line="377" w:lineRule="auto"/>
        <w:ind w:firstLineChars="0"/>
        <w:jc w:val="center"/>
        <w:rPr>
          <w:rFonts w:hint="eastAsia" w:ascii="黑体" w:hAnsi="黑体" w:eastAsia="黑体" w:cs="仿宋"/>
          <w:color w:val="auto"/>
          <w:sz w:val="36"/>
          <w:szCs w:val="32"/>
        </w:rPr>
      </w:pPr>
    </w:p>
    <w:p w14:paraId="2723246E">
      <w:pPr>
        <w:spacing w:before="91" w:line="224" w:lineRule="auto"/>
        <w:ind w:firstLine="562"/>
        <w:jc w:val="center"/>
        <w:rPr>
          <w:rFonts w:hint="eastAsia" w:ascii="黑体" w:hAnsi="黑体" w:eastAsia="黑体"/>
          <w:b/>
          <w:color w:val="auto"/>
          <w:sz w:val="28"/>
        </w:rPr>
      </w:pPr>
      <w:r>
        <w:rPr>
          <w:rFonts w:hint="eastAsia" w:ascii="黑体" w:hAnsi="黑体" w:eastAsia="黑体"/>
          <w:b/>
          <w:color w:val="auto"/>
          <w:sz w:val="28"/>
        </w:rPr>
        <w:t>合同</w:t>
      </w:r>
      <w:r>
        <w:rPr>
          <w:rFonts w:ascii="黑体" w:hAnsi="黑体" w:eastAsia="黑体"/>
          <w:b/>
          <w:color w:val="auto"/>
          <w:sz w:val="28"/>
        </w:rPr>
        <w:t>编号：</w:t>
      </w:r>
    </w:p>
    <w:p w14:paraId="0A396742">
      <w:pPr>
        <w:spacing w:line="251" w:lineRule="auto"/>
        <w:ind w:firstLine="640"/>
        <w:rPr>
          <w:color w:val="auto"/>
        </w:rPr>
      </w:pPr>
    </w:p>
    <w:p w14:paraId="2C59C13A">
      <w:pPr>
        <w:spacing w:line="252" w:lineRule="auto"/>
        <w:ind w:firstLine="148" w:firstLineChars="62"/>
        <w:rPr>
          <w:color w:val="auto"/>
        </w:rPr>
      </w:pPr>
    </w:p>
    <w:p w14:paraId="5D814B3F">
      <w:pPr>
        <w:spacing w:line="252" w:lineRule="auto"/>
        <w:ind w:firstLine="640"/>
        <w:rPr>
          <w:color w:val="auto"/>
        </w:rPr>
      </w:pPr>
    </w:p>
    <w:p w14:paraId="39C9F784">
      <w:pPr>
        <w:spacing w:line="252" w:lineRule="auto"/>
        <w:ind w:firstLine="640"/>
        <w:rPr>
          <w:color w:val="auto"/>
        </w:rPr>
      </w:pPr>
    </w:p>
    <w:p w14:paraId="745DD291">
      <w:pPr>
        <w:spacing w:line="252" w:lineRule="auto"/>
        <w:rPr>
          <w:color w:val="auto"/>
        </w:rPr>
      </w:pPr>
    </w:p>
    <w:p w14:paraId="2FD91912">
      <w:pPr>
        <w:spacing w:line="252" w:lineRule="auto"/>
        <w:ind w:firstLine="640"/>
        <w:rPr>
          <w:color w:val="auto"/>
        </w:rPr>
      </w:pPr>
    </w:p>
    <w:p w14:paraId="212EA68E">
      <w:pPr>
        <w:spacing w:line="252" w:lineRule="auto"/>
        <w:ind w:firstLine="640"/>
        <w:rPr>
          <w:color w:val="auto"/>
        </w:rPr>
      </w:pPr>
    </w:p>
    <w:p w14:paraId="2805E54E">
      <w:pPr>
        <w:spacing w:line="252" w:lineRule="auto"/>
        <w:ind w:firstLine="640"/>
        <w:rPr>
          <w:color w:val="auto"/>
        </w:rPr>
      </w:pPr>
    </w:p>
    <w:p w14:paraId="443094AA">
      <w:pPr>
        <w:pStyle w:val="2"/>
        <w:ind w:firstLine="640"/>
        <w:rPr>
          <w:color w:val="auto"/>
        </w:rPr>
      </w:pPr>
    </w:p>
    <w:p w14:paraId="16C4235D">
      <w:pPr>
        <w:pStyle w:val="2"/>
        <w:ind w:firstLine="640"/>
        <w:rPr>
          <w:color w:val="auto"/>
        </w:rPr>
      </w:pPr>
    </w:p>
    <w:p w14:paraId="7D8D65F2">
      <w:pPr>
        <w:pStyle w:val="2"/>
        <w:ind w:firstLine="640"/>
        <w:rPr>
          <w:color w:val="auto"/>
        </w:rPr>
      </w:pPr>
    </w:p>
    <w:p w14:paraId="348CF9D6">
      <w:pPr>
        <w:spacing w:line="252" w:lineRule="auto"/>
        <w:ind w:firstLine="640"/>
        <w:rPr>
          <w:color w:val="auto"/>
        </w:rPr>
      </w:pPr>
    </w:p>
    <w:tbl>
      <w:tblPr>
        <w:tblStyle w:val="4"/>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706"/>
        <w:gridCol w:w="5810"/>
      </w:tblGrid>
      <w:tr w14:paraId="187C0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804" w:type="dxa"/>
          </w:tcPr>
          <w:p w14:paraId="1F596993">
            <w:pPr>
              <w:widowControl/>
              <w:ind w:firstLine="643"/>
              <w:jc w:val="right"/>
              <w:rPr>
                <w:color w:val="auto"/>
              </w:rPr>
            </w:pPr>
            <w:r>
              <w:rPr>
                <w:rFonts w:ascii="楷体" w:hAnsi="楷体" w:eastAsia="楷体"/>
                <w:b/>
                <w:color w:val="auto"/>
                <w:szCs w:val="32"/>
              </w:rPr>
              <w:t>甲    方：</w:t>
            </w:r>
          </w:p>
        </w:tc>
        <w:tc>
          <w:tcPr>
            <w:tcW w:w="6150" w:type="dxa"/>
          </w:tcPr>
          <w:p w14:paraId="4433F648">
            <w:pPr>
              <w:widowControl/>
              <w:ind w:firstLine="640"/>
              <w:jc w:val="left"/>
              <w:rPr>
                <w:color w:val="auto"/>
              </w:rPr>
            </w:pPr>
          </w:p>
        </w:tc>
      </w:tr>
      <w:tr w14:paraId="703D27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804" w:type="dxa"/>
          </w:tcPr>
          <w:p w14:paraId="68F51ED7">
            <w:pPr>
              <w:widowControl/>
              <w:ind w:firstLine="643"/>
              <w:jc w:val="right"/>
              <w:rPr>
                <w:color w:val="auto"/>
              </w:rPr>
            </w:pPr>
            <w:r>
              <w:rPr>
                <w:rFonts w:ascii="楷体" w:hAnsi="楷体" w:eastAsia="楷体"/>
                <w:b/>
                <w:color w:val="auto"/>
                <w:szCs w:val="32"/>
              </w:rPr>
              <w:t>乙    方：</w:t>
            </w:r>
          </w:p>
        </w:tc>
        <w:tc>
          <w:tcPr>
            <w:tcW w:w="6150" w:type="dxa"/>
          </w:tcPr>
          <w:p w14:paraId="1EAD0FA0">
            <w:pPr>
              <w:widowControl/>
              <w:ind w:firstLine="640"/>
              <w:jc w:val="left"/>
              <w:rPr>
                <w:color w:val="auto"/>
              </w:rPr>
            </w:pPr>
          </w:p>
        </w:tc>
      </w:tr>
    </w:tbl>
    <w:p w14:paraId="57EC237A">
      <w:pPr>
        <w:spacing w:before="201"/>
        <w:ind w:firstLine="723" w:firstLineChars="300"/>
        <w:jc w:val="left"/>
        <w:rPr>
          <w:rFonts w:hint="eastAsia" w:ascii="楷体" w:hAnsi="楷体" w:eastAsia="楷体"/>
          <w:b/>
          <w:color w:val="auto"/>
          <w:szCs w:val="32"/>
        </w:rPr>
      </w:pPr>
      <w:r>
        <w:rPr>
          <w:rFonts w:hint="eastAsia" w:ascii="楷体" w:hAnsi="楷体" w:eastAsia="楷体"/>
          <w:b/>
          <w:color w:val="auto"/>
          <w:szCs w:val="32"/>
        </w:rPr>
        <w:t>签订时间：</w:t>
      </w:r>
      <w:r>
        <w:rPr>
          <w:rFonts w:ascii="楷体" w:hAnsi="楷体" w:eastAsia="楷体"/>
          <w:b/>
          <w:color w:val="auto"/>
          <w:szCs w:val="32"/>
        </w:rPr>
        <w:t xml:space="preserve"> 年 </w:t>
      </w:r>
      <w:r>
        <w:rPr>
          <w:rFonts w:hint="eastAsia" w:ascii="楷体" w:hAnsi="楷体" w:eastAsia="楷体"/>
          <w:b/>
          <w:color w:val="auto"/>
          <w:szCs w:val="32"/>
        </w:rPr>
        <w:t xml:space="preserve"> </w:t>
      </w:r>
      <w:r>
        <w:rPr>
          <w:rFonts w:ascii="楷体" w:hAnsi="楷体" w:eastAsia="楷体"/>
          <w:b/>
          <w:color w:val="auto"/>
          <w:szCs w:val="32"/>
        </w:rPr>
        <w:t>月</w:t>
      </w:r>
      <w:r>
        <w:rPr>
          <w:rFonts w:hint="eastAsia" w:ascii="楷体" w:hAnsi="楷体" w:eastAsia="楷体"/>
          <w:b/>
          <w:color w:val="auto"/>
          <w:szCs w:val="32"/>
        </w:rPr>
        <w:t xml:space="preserve">  日</w:t>
      </w:r>
    </w:p>
    <w:p w14:paraId="1919D1D2">
      <w:pPr>
        <w:spacing w:before="208"/>
        <w:ind w:firstLine="723" w:firstLineChars="300"/>
        <w:jc w:val="left"/>
        <w:rPr>
          <w:rFonts w:hint="eastAsia" w:ascii="楷体" w:hAnsi="楷体" w:eastAsia="楷体"/>
          <w:b/>
          <w:color w:val="auto"/>
          <w:szCs w:val="32"/>
        </w:rPr>
      </w:pPr>
      <w:r>
        <w:rPr>
          <w:rFonts w:hint="eastAsia" w:ascii="楷体" w:hAnsi="楷体" w:eastAsia="楷体"/>
          <w:b/>
          <w:color w:val="auto"/>
          <w:szCs w:val="32"/>
        </w:rPr>
        <w:t>签订地点：</w:t>
      </w:r>
    </w:p>
    <w:p w14:paraId="275F7BA1">
      <w:pPr>
        <w:rPr>
          <w:rFonts w:hint="eastAsia" w:ascii="楷体" w:hAnsi="楷体" w:eastAsia="楷体"/>
          <w:b/>
          <w:color w:val="auto"/>
          <w:szCs w:val="32"/>
        </w:rPr>
      </w:pPr>
      <w:r>
        <w:rPr>
          <w:rFonts w:hint="eastAsia" w:ascii="楷体" w:hAnsi="楷体" w:eastAsia="楷体"/>
          <w:b/>
          <w:color w:val="auto"/>
          <w:szCs w:val="32"/>
        </w:rPr>
        <w:br w:type="page"/>
      </w:r>
    </w:p>
    <w:p w14:paraId="2BDE852F">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委托方（甲方）：陕西省自然资源厅</w:t>
      </w:r>
    </w:p>
    <w:p w14:paraId="0A349D7E">
      <w:pPr>
        <w:pStyle w:val="2"/>
        <w:ind w:firstLine="48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统一社会信用代码：</w:t>
      </w:r>
    </w:p>
    <w:p w14:paraId="7B8E626B">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法定代表人：</w:t>
      </w:r>
    </w:p>
    <w:p w14:paraId="0A789703">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联系电话：</w:t>
      </w:r>
    </w:p>
    <w:p w14:paraId="0427636B">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联系地址：</w:t>
      </w:r>
    </w:p>
    <w:p w14:paraId="79B91713">
      <w:pPr>
        <w:pStyle w:val="2"/>
        <w:rPr>
          <w:rFonts w:hint="eastAsia" w:ascii="宋体" w:hAnsi="宋体" w:eastAsia="宋体" w:cs="宋体"/>
          <w:lang w:val="en-US" w:eastAsia="zh-CN"/>
        </w:rPr>
      </w:pPr>
    </w:p>
    <w:p w14:paraId="5CD73D80">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承接方（乙方）：</w:t>
      </w:r>
    </w:p>
    <w:p w14:paraId="727BADCE">
      <w:pPr>
        <w:pStyle w:val="2"/>
        <w:ind w:firstLine="480"/>
        <w:jc w:val="both"/>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统一社会信用代码：</w:t>
      </w:r>
    </w:p>
    <w:p w14:paraId="7C0457D2">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法定代表人：</w:t>
      </w:r>
    </w:p>
    <w:p w14:paraId="1A1FE707">
      <w:pPr>
        <w:keepNext w:val="0"/>
        <w:keepLines w:val="0"/>
        <w:pageBreakBefore w:val="0"/>
        <w:kinsoku/>
        <w:wordWrap/>
        <w:overflowPunct/>
        <w:topLinePunct w:val="0"/>
        <w:autoSpaceDE/>
        <w:autoSpaceDN/>
        <w:bidi w:val="0"/>
        <w:adjustRightInd/>
        <w:snapToGrid/>
        <w:spacing w:line="360" w:lineRule="auto"/>
        <w:ind w:firstLine="480" w:firstLineChars="200"/>
        <w:jc w:val="both"/>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联系电话：</w:t>
      </w:r>
    </w:p>
    <w:p w14:paraId="237DE488">
      <w:pPr>
        <w:pStyle w:val="2"/>
        <w:ind w:firstLine="480" w:firstLineChars="200"/>
        <w:rPr>
          <w:rFonts w:hint="eastAsia" w:ascii="宋体" w:hAnsi="宋体" w:eastAsia="宋体" w:cs="宋体"/>
          <w:lang w:val="en-US" w:eastAsia="zh-CN"/>
        </w:rPr>
      </w:pPr>
      <w:r>
        <w:rPr>
          <w:rFonts w:hint="eastAsia" w:ascii="宋体" w:hAnsi="宋体" w:eastAsia="宋体" w:cs="宋体"/>
          <w:color w:val="auto"/>
          <w:sz w:val="24"/>
          <w:szCs w:val="24"/>
          <w:lang w:val="en-US" w:eastAsia="zh-CN"/>
        </w:rPr>
        <w:t>联系地址：</w:t>
      </w:r>
    </w:p>
    <w:p w14:paraId="2AB13309">
      <w:pPr>
        <w:ind w:firstLine="0" w:firstLineChars="0"/>
        <w:rPr>
          <w:color w:val="auto"/>
        </w:rPr>
      </w:pPr>
      <w:r>
        <w:rPr>
          <w:rFonts w:hint="eastAsia"/>
          <w:color w:val="auto"/>
        </w:rPr>
        <w:t xml:space="preserve"> </w:t>
      </w:r>
    </w:p>
    <w:p w14:paraId="6AFFADF8">
      <w:pPr>
        <w:ind w:firstLine="640"/>
        <w:rPr>
          <w:color w:val="auto"/>
        </w:rPr>
      </w:pPr>
      <w:r>
        <w:rPr>
          <w:color w:val="auto"/>
        </w:rPr>
        <w:t>根据《中华人民共和国民法典》及其他有关法律、法规，遵循平等、自愿、公平和诚信的原则，双方就下述项目范围与相关服务事项协商一致，订立本合同。</w:t>
      </w:r>
    </w:p>
    <w:p w14:paraId="6DC1EACB">
      <w:pPr>
        <w:ind w:firstLine="643"/>
        <w:rPr>
          <w:b/>
          <w:bCs/>
          <w:color w:val="auto"/>
        </w:rPr>
      </w:pPr>
      <w:r>
        <w:rPr>
          <w:b/>
          <w:bCs/>
          <w:color w:val="auto"/>
        </w:rPr>
        <w:t>一、项目概况</w:t>
      </w:r>
    </w:p>
    <w:p w14:paraId="43595692">
      <w:pPr>
        <w:ind w:firstLine="640"/>
        <w:rPr>
          <w:color w:val="auto"/>
        </w:rPr>
      </w:pPr>
      <w:r>
        <w:rPr>
          <w:rFonts w:hint="eastAsia"/>
          <w:color w:val="auto"/>
        </w:rPr>
        <w:t>（一）</w:t>
      </w:r>
      <w:r>
        <w:rPr>
          <w:color w:val="auto"/>
        </w:rPr>
        <w:t>项目名称：</w:t>
      </w:r>
      <w:r>
        <w:rPr>
          <w:rFonts w:hint="eastAsia"/>
          <w:color w:val="auto"/>
        </w:rPr>
        <w:t>陕西省“十五五”自然资源保护和利用规划。</w:t>
      </w:r>
    </w:p>
    <w:p w14:paraId="1EB719A7">
      <w:pPr>
        <w:ind w:firstLine="640"/>
        <w:rPr>
          <w:color w:val="auto"/>
        </w:rPr>
      </w:pPr>
      <w:r>
        <w:rPr>
          <w:rFonts w:hint="eastAsia"/>
          <w:color w:val="auto"/>
        </w:rPr>
        <w:t>（二）</w:t>
      </w:r>
      <w:r>
        <w:rPr>
          <w:color w:val="auto"/>
        </w:rPr>
        <w:t>项目内容：</w:t>
      </w:r>
      <w:r>
        <w:rPr>
          <w:rFonts w:hint="eastAsia"/>
          <w:color w:val="auto"/>
        </w:rPr>
        <w:t>通过系统总结“十四五”时期自然资源保护和利用工作成效，科学研判“十五五”时期的工作形势，聚焦事关全省发展大局的重点领域和薄弱环节，重点围绕优化国土空间格局、提升自然资源利用水平、提高生态系统质量和稳定性、增大重大项目支撑能力、深化自然资源领域重点改革、夯实自然资源基础支撑体系等方面，提出“十五五”时期自然资源保护和利用的工作思路、主要目标、重大战略任务、重大改革举措、重大工程项目等内容。</w:t>
      </w:r>
    </w:p>
    <w:p w14:paraId="06B9AC2A">
      <w:pPr>
        <w:ind w:firstLine="643"/>
        <w:rPr>
          <w:b/>
          <w:bCs/>
          <w:color w:val="auto"/>
        </w:rPr>
      </w:pPr>
      <w:r>
        <w:rPr>
          <w:b/>
          <w:bCs/>
          <w:color w:val="auto"/>
        </w:rPr>
        <w:t>二、交付成果</w:t>
      </w:r>
    </w:p>
    <w:p w14:paraId="34AF5C68">
      <w:pPr>
        <w:ind w:firstLine="640"/>
        <w:rPr>
          <w:color w:val="auto"/>
        </w:rPr>
      </w:pPr>
      <w:r>
        <w:rPr>
          <w:rFonts w:hint="eastAsia"/>
          <w:color w:val="auto"/>
        </w:rPr>
        <w:t>（一）课题研究成果。开展11个重大课题研究，分别为：（1）“十五五”时期自然资源形势研判与战略目标研究；（2）耕地保护战略研究；（3）战略性矿产找矿工作布局研究；（4）构建国土空间开发保护新格局研究；（5）健全国土空间用途管制制度研究；（6）自然资源节约集约利用研究；（7）生态保护修复战略研究；（8）地质勘查行业改革发展研究；（9）完善自然资源资产管理制度体系研究；（10）自然资源统一调查监测评价工作格局研究；（11）自然资源信息化战略研究。</w:t>
      </w:r>
    </w:p>
    <w:p w14:paraId="7E608E52">
      <w:pPr>
        <w:ind w:firstLine="640"/>
        <w:rPr>
          <w:color w:val="auto"/>
        </w:rPr>
      </w:pPr>
      <w:r>
        <w:rPr>
          <w:rFonts w:hint="eastAsia"/>
          <w:color w:val="auto"/>
        </w:rPr>
        <w:t>（二）规划编制成果。规划编制成果包括文本、图件及其他相关材料，其中文本包含自然资源保护和利用现状形势要求、总体目标、主要指标、重大战略任务、重大改革措施和重大工程项目等内容；图件包含土地利用现状示意图、森林覆盖示意图、水系分布示意图、“十五五”国土空间开发保护格局示意图、“十五五”生态修复重点工程示意图、“十五五”矿产资源勘察开发保护示意图、“十五五”地质灾害防治示意图等；其他材料包括《规划》编制中形成的基础资料、会议纪要、部门意见、地方意见、专家论证意见、公众参与记录等文件。</w:t>
      </w:r>
    </w:p>
    <w:p w14:paraId="5940DDAB">
      <w:pPr>
        <w:ind w:firstLine="643"/>
        <w:rPr>
          <w:b/>
          <w:bCs/>
          <w:color w:val="auto"/>
        </w:rPr>
      </w:pPr>
      <w:r>
        <w:rPr>
          <w:b/>
          <w:bCs/>
          <w:color w:val="auto"/>
        </w:rPr>
        <w:t>三、合同金额</w:t>
      </w:r>
    </w:p>
    <w:p w14:paraId="2884C8F5">
      <w:pPr>
        <w:ind w:firstLine="640"/>
        <w:rPr>
          <w:color w:val="auto"/>
        </w:rPr>
      </w:pPr>
      <w:r>
        <w:rPr>
          <w:color w:val="auto"/>
        </w:rPr>
        <w:t>合同金额：</w:t>
      </w:r>
      <w:r>
        <w:rPr>
          <w:rFonts w:hint="eastAsia"/>
          <w:color w:val="auto"/>
        </w:rPr>
        <w:t>人民币（大写）</w:t>
      </w:r>
      <w:r>
        <w:rPr>
          <w:rFonts w:hint="eastAsia"/>
          <w:color w:val="auto"/>
          <w:u w:val="single"/>
        </w:rPr>
        <w:t xml:space="preserve">       </w:t>
      </w:r>
      <w:r>
        <w:rPr>
          <w:rFonts w:hint="eastAsia"/>
          <w:color w:val="auto"/>
        </w:rPr>
        <w:t>元；￥</w:t>
      </w:r>
      <w:r>
        <w:rPr>
          <w:rFonts w:hint="eastAsia"/>
          <w:color w:val="auto"/>
          <w:u w:val="single"/>
        </w:rPr>
        <w:t xml:space="preserve">       </w:t>
      </w:r>
      <w:r>
        <w:rPr>
          <w:rFonts w:hint="eastAsia"/>
          <w:color w:val="auto"/>
        </w:rPr>
        <w:t>元。</w:t>
      </w:r>
    </w:p>
    <w:p w14:paraId="091E1EB2">
      <w:pPr>
        <w:ind w:firstLine="640"/>
        <w:rPr>
          <w:color w:val="auto"/>
        </w:rPr>
      </w:pPr>
      <w:r>
        <w:rPr>
          <w:color w:val="auto"/>
        </w:rPr>
        <w:t>合同总价</w:t>
      </w:r>
      <w:r>
        <w:rPr>
          <w:rFonts w:hint="eastAsia"/>
          <w:color w:val="auto"/>
        </w:rPr>
        <w:t>（</w:t>
      </w:r>
      <w:r>
        <w:rPr>
          <w:color w:val="auto"/>
        </w:rPr>
        <w:t>包括了人员工资、管理费用、保险费用、税费等其他一切费用</w:t>
      </w:r>
      <w:r>
        <w:rPr>
          <w:rFonts w:hint="eastAsia"/>
          <w:color w:val="auto"/>
        </w:rPr>
        <w:t>）</w:t>
      </w:r>
      <w:r>
        <w:rPr>
          <w:color w:val="auto"/>
        </w:rPr>
        <w:t>，成交价不受市场价变化或实际工作量变化的影响。</w:t>
      </w:r>
    </w:p>
    <w:p w14:paraId="638C5546">
      <w:pPr>
        <w:ind w:firstLine="643"/>
        <w:rPr>
          <w:b/>
          <w:bCs/>
          <w:color w:val="auto"/>
        </w:rPr>
      </w:pPr>
      <w:r>
        <w:rPr>
          <w:b/>
          <w:bCs/>
          <w:color w:val="auto"/>
        </w:rPr>
        <w:t>四、付款方式</w:t>
      </w:r>
    </w:p>
    <w:p w14:paraId="19B04AA1">
      <w:pPr>
        <w:ind w:firstLine="640"/>
        <w:rPr>
          <w:color w:val="auto"/>
        </w:rPr>
      </w:pPr>
      <w:r>
        <w:rPr>
          <w:rFonts w:hint="eastAsia"/>
          <w:color w:val="auto"/>
        </w:rPr>
        <w:t>（一）</w:t>
      </w:r>
      <w:r>
        <w:rPr>
          <w:color w:val="auto"/>
        </w:rPr>
        <w:t xml:space="preserve">本合同签订后 </w:t>
      </w:r>
      <w:r>
        <w:rPr>
          <w:rFonts w:hint="eastAsia"/>
          <w:color w:val="auto"/>
        </w:rPr>
        <w:t>5</w:t>
      </w:r>
      <w:r>
        <w:rPr>
          <w:color w:val="auto"/>
        </w:rPr>
        <w:t xml:space="preserve"> 个工作日内，甲方支付给乙方本合同总价款的</w:t>
      </w:r>
      <w:r>
        <w:rPr>
          <w:rFonts w:hint="eastAsia"/>
          <w:color w:val="auto"/>
          <w:spacing w:val="4"/>
        </w:rPr>
        <w:t>5</w:t>
      </w:r>
      <w:r>
        <w:rPr>
          <w:color w:val="auto"/>
          <w:spacing w:val="4"/>
        </w:rPr>
        <w:t>0</w:t>
      </w:r>
      <w:r>
        <w:rPr>
          <w:color w:val="auto"/>
        </w:rPr>
        <w:t>％，即</w:t>
      </w:r>
      <w:r>
        <w:rPr>
          <w:rFonts w:hint="eastAsia"/>
          <w:color w:val="auto"/>
        </w:rPr>
        <w:t>人民币（大写）</w:t>
      </w:r>
      <w:r>
        <w:rPr>
          <w:rFonts w:hint="eastAsia"/>
          <w:color w:val="auto"/>
          <w:u w:val="single"/>
        </w:rPr>
        <w:t xml:space="preserve">          </w:t>
      </w:r>
      <w:r>
        <w:rPr>
          <w:rFonts w:hint="eastAsia"/>
          <w:color w:val="auto"/>
        </w:rPr>
        <w:t>元；￥</w:t>
      </w:r>
      <w:r>
        <w:rPr>
          <w:rFonts w:hint="eastAsia"/>
          <w:color w:val="auto"/>
          <w:u w:val="single"/>
        </w:rPr>
        <w:t xml:space="preserve">       </w:t>
      </w:r>
      <w:r>
        <w:rPr>
          <w:rFonts w:hint="eastAsia"/>
          <w:color w:val="auto"/>
        </w:rPr>
        <w:t>元，</w:t>
      </w:r>
      <w:r>
        <w:rPr>
          <w:color w:val="auto"/>
        </w:rPr>
        <w:t>乙方以预付款到账时间作为项目组正式进入现场时间。</w:t>
      </w:r>
    </w:p>
    <w:p w14:paraId="1B2BC10E">
      <w:pPr>
        <w:ind w:firstLine="640"/>
        <w:rPr>
          <w:color w:val="auto"/>
        </w:rPr>
      </w:pPr>
      <w:r>
        <w:rPr>
          <w:rFonts w:hint="eastAsia"/>
          <w:color w:val="auto"/>
        </w:rPr>
        <w:t>（二）</w:t>
      </w:r>
      <w:r>
        <w:rPr>
          <w:color w:val="auto"/>
          <w:spacing w:val="6"/>
        </w:rPr>
        <w:t>规划</w:t>
      </w:r>
      <w:r>
        <w:rPr>
          <w:rFonts w:hint="eastAsia"/>
          <w:color w:val="auto"/>
          <w:spacing w:val="6"/>
        </w:rPr>
        <w:t>编制完成并通过专家评审后</w:t>
      </w:r>
      <w:r>
        <w:rPr>
          <w:color w:val="auto"/>
          <w:spacing w:val="6"/>
        </w:rPr>
        <w:t>，甲方支付</w:t>
      </w:r>
      <w:r>
        <w:rPr>
          <w:rFonts w:hint="eastAsia"/>
          <w:color w:val="auto"/>
          <w:spacing w:val="4"/>
        </w:rPr>
        <w:t>给</w:t>
      </w:r>
      <w:r>
        <w:rPr>
          <w:color w:val="auto"/>
          <w:spacing w:val="4"/>
        </w:rPr>
        <w:t>乙方本合同价款的</w:t>
      </w:r>
      <w:r>
        <w:rPr>
          <w:color w:val="auto"/>
        </w:rPr>
        <w:t>30％，即</w:t>
      </w:r>
      <w:r>
        <w:rPr>
          <w:rFonts w:hint="eastAsia"/>
          <w:color w:val="auto"/>
        </w:rPr>
        <w:t xml:space="preserve">人民币（大写） </w:t>
      </w:r>
      <w:r>
        <w:rPr>
          <w:rFonts w:hint="eastAsia"/>
          <w:color w:val="auto"/>
          <w:u w:val="single"/>
        </w:rPr>
        <w:t xml:space="preserve">       </w:t>
      </w:r>
      <w:r>
        <w:rPr>
          <w:rFonts w:hint="eastAsia"/>
          <w:color w:val="auto"/>
        </w:rPr>
        <w:t>元；￥</w:t>
      </w:r>
      <w:r>
        <w:rPr>
          <w:rFonts w:hint="eastAsia"/>
          <w:color w:val="auto"/>
          <w:u w:val="single"/>
        </w:rPr>
        <w:t xml:space="preserve">      </w:t>
      </w:r>
      <w:r>
        <w:rPr>
          <w:rFonts w:hint="eastAsia"/>
          <w:color w:val="auto"/>
        </w:rPr>
        <w:t>元。</w:t>
      </w:r>
    </w:p>
    <w:p w14:paraId="789A0342">
      <w:pPr>
        <w:ind w:firstLine="640"/>
        <w:rPr>
          <w:color w:val="auto"/>
        </w:rPr>
      </w:pPr>
      <w:r>
        <w:rPr>
          <w:rFonts w:hint="eastAsia" w:ascii="宋体" w:hAnsi="宋体"/>
          <w:color w:val="auto"/>
        </w:rPr>
        <w:t>（三）</w:t>
      </w:r>
      <w:r>
        <w:rPr>
          <w:rFonts w:hint="eastAsia"/>
          <w:color w:val="auto"/>
        </w:rPr>
        <w:t>规划上报省级人民政府并批准</w:t>
      </w:r>
      <w:r>
        <w:rPr>
          <w:color w:val="auto"/>
        </w:rPr>
        <w:t>后，甲方支付</w:t>
      </w:r>
      <w:r>
        <w:rPr>
          <w:rFonts w:hint="eastAsia"/>
          <w:color w:val="auto"/>
        </w:rPr>
        <w:t>合同总价款的20%</w:t>
      </w:r>
      <w:r>
        <w:rPr>
          <w:color w:val="auto"/>
        </w:rPr>
        <w:t>，即</w:t>
      </w:r>
      <w:r>
        <w:rPr>
          <w:rFonts w:hint="eastAsia"/>
          <w:color w:val="auto"/>
        </w:rPr>
        <w:t>人民币（大写）</w:t>
      </w:r>
      <w:r>
        <w:rPr>
          <w:rFonts w:hint="eastAsia"/>
          <w:color w:val="auto"/>
          <w:u w:val="single"/>
        </w:rPr>
        <w:t xml:space="preserve">      </w:t>
      </w:r>
      <w:r>
        <w:rPr>
          <w:rFonts w:hint="eastAsia"/>
          <w:color w:val="auto"/>
        </w:rPr>
        <w:t>元；￥</w:t>
      </w:r>
      <w:r>
        <w:rPr>
          <w:rFonts w:hint="eastAsia"/>
          <w:color w:val="auto"/>
          <w:u w:val="single"/>
        </w:rPr>
        <w:t xml:space="preserve">      </w:t>
      </w:r>
      <w:r>
        <w:rPr>
          <w:rFonts w:hint="eastAsia"/>
          <w:color w:val="auto"/>
        </w:rPr>
        <w:t>元。</w:t>
      </w:r>
    </w:p>
    <w:p w14:paraId="477BFEA0">
      <w:pPr>
        <w:ind w:firstLine="640"/>
        <w:rPr>
          <w:color w:val="auto"/>
        </w:rPr>
      </w:pPr>
      <w:r>
        <w:rPr>
          <w:rFonts w:hint="eastAsia" w:ascii="宋体" w:hAnsi="宋体"/>
          <w:color w:val="auto"/>
        </w:rPr>
        <w:t>（四）</w:t>
      </w:r>
      <w:r>
        <w:rPr>
          <w:rFonts w:hint="eastAsia"/>
          <w:color w:val="auto"/>
        </w:rPr>
        <w:t>支付方式：银行转账。</w:t>
      </w:r>
    </w:p>
    <w:p w14:paraId="7AE41F81">
      <w:pPr>
        <w:ind w:firstLine="640"/>
        <w:rPr>
          <w:color w:val="auto"/>
        </w:rPr>
      </w:pPr>
      <w:r>
        <w:rPr>
          <w:rFonts w:hint="eastAsia" w:ascii="宋体" w:hAnsi="宋体"/>
          <w:color w:val="auto"/>
        </w:rPr>
        <w:t>（五）</w:t>
      </w:r>
      <w:r>
        <w:rPr>
          <w:rFonts w:hint="eastAsia"/>
          <w:color w:val="auto"/>
        </w:rPr>
        <w:t>结算方式：乙方开具等额发票，与甲方直接办理结算。</w:t>
      </w:r>
    </w:p>
    <w:p w14:paraId="1C99A0D6">
      <w:pPr>
        <w:ind w:firstLine="683"/>
        <w:rPr>
          <w:b/>
          <w:bCs/>
          <w:color w:val="auto"/>
        </w:rPr>
      </w:pPr>
      <w:r>
        <w:rPr>
          <w:b/>
          <w:bCs/>
          <w:color w:val="auto"/>
          <w:spacing w:val="10"/>
        </w:rPr>
        <w:t>五</w:t>
      </w:r>
      <w:r>
        <w:rPr>
          <w:b/>
          <w:bCs/>
          <w:color w:val="auto"/>
        </w:rPr>
        <w:t>、服务期限</w:t>
      </w:r>
    </w:p>
    <w:p w14:paraId="4CBBE6B7">
      <w:pPr>
        <w:ind w:firstLine="640"/>
        <w:rPr>
          <w:color w:val="auto"/>
        </w:rPr>
      </w:pPr>
      <w:r>
        <w:rPr>
          <w:color w:val="auto"/>
        </w:rPr>
        <w:t>乙方应于 202</w:t>
      </w:r>
      <w:r>
        <w:rPr>
          <w:rFonts w:hint="eastAsia"/>
          <w:color w:val="auto"/>
        </w:rPr>
        <w:t>6</w:t>
      </w:r>
      <w:r>
        <w:rPr>
          <w:color w:val="auto"/>
        </w:rPr>
        <w:t>年</w:t>
      </w:r>
      <w:r>
        <w:rPr>
          <w:rFonts w:hint="eastAsia"/>
          <w:color w:val="auto"/>
        </w:rPr>
        <w:t>7</w:t>
      </w:r>
      <w:r>
        <w:rPr>
          <w:color w:val="auto"/>
        </w:rPr>
        <w:t>月 31日前完成编制工作并确保通过评审验收，如因不可抗力需延期，乙方提出申请经甲方同意后</w:t>
      </w:r>
      <w:r>
        <w:rPr>
          <w:rFonts w:hint="eastAsia"/>
          <w:color w:val="auto"/>
          <w:lang w:val="en-US" w:eastAsia="zh-CN"/>
        </w:rPr>
        <w:t>方</w:t>
      </w:r>
      <w:r>
        <w:rPr>
          <w:color w:val="auto"/>
        </w:rPr>
        <w:t>可延期。</w:t>
      </w:r>
    </w:p>
    <w:p w14:paraId="5F8EE46D">
      <w:pPr>
        <w:ind w:firstLine="638"/>
        <w:rPr>
          <w:b/>
          <w:bCs/>
          <w:color w:val="auto"/>
        </w:rPr>
      </w:pPr>
      <w:r>
        <w:rPr>
          <w:b/>
          <w:bCs/>
          <w:color w:val="auto"/>
          <w:spacing w:val="-1"/>
        </w:rPr>
        <w:t>六、 甲</w:t>
      </w:r>
      <w:r>
        <w:rPr>
          <w:b/>
          <w:bCs/>
          <w:color w:val="auto"/>
        </w:rPr>
        <w:t>乙双方的权利与义务</w:t>
      </w:r>
    </w:p>
    <w:p w14:paraId="07DE23A9">
      <w:pPr>
        <w:ind w:firstLine="640"/>
        <w:rPr>
          <w:color w:val="auto"/>
        </w:rPr>
      </w:pPr>
      <w:r>
        <w:rPr>
          <w:rFonts w:hint="eastAsia"/>
          <w:color w:val="auto"/>
        </w:rPr>
        <w:t>（</w:t>
      </w:r>
      <w:r>
        <w:rPr>
          <w:color w:val="auto"/>
        </w:rPr>
        <w:t>一</w:t>
      </w:r>
      <w:r>
        <w:rPr>
          <w:rFonts w:hint="eastAsia"/>
          <w:color w:val="auto"/>
        </w:rPr>
        <w:t>）</w:t>
      </w:r>
      <w:r>
        <w:rPr>
          <w:color w:val="auto"/>
        </w:rPr>
        <w:t>甲方的权利与义务</w:t>
      </w:r>
    </w:p>
    <w:p w14:paraId="700AB9BF">
      <w:pPr>
        <w:ind w:firstLine="640"/>
        <w:rPr>
          <w:color w:val="auto"/>
        </w:rPr>
      </w:pPr>
      <w:r>
        <w:rPr>
          <w:color w:val="auto"/>
        </w:rPr>
        <w:t>1</w:t>
      </w:r>
      <w:r>
        <w:rPr>
          <w:rFonts w:hint="eastAsia"/>
          <w:color w:val="auto"/>
        </w:rPr>
        <w:t>、</w:t>
      </w:r>
      <w:r>
        <w:rPr>
          <w:color w:val="auto"/>
        </w:rPr>
        <w:t>甲方应向乙方提供准确、具体的服务内容及相关资料。</w:t>
      </w:r>
    </w:p>
    <w:p w14:paraId="6684CCCB">
      <w:pPr>
        <w:ind w:firstLine="640"/>
        <w:rPr>
          <w:color w:val="auto"/>
        </w:rPr>
      </w:pPr>
      <w:r>
        <w:rPr>
          <w:color w:val="auto"/>
        </w:rPr>
        <w:t>2</w:t>
      </w:r>
      <w:r>
        <w:rPr>
          <w:rFonts w:hint="eastAsia"/>
          <w:color w:val="auto"/>
        </w:rPr>
        <w:t>、</w:t>
      </w:r>
      <w:r>
        <w:rPr>
          <w:color w:val="auto"/>
        </w:rPr>
        <w:t>甲方应按合同规定的日程和款项及时向乙方付款。</w:t>
      </w:r>
    </w:p>
    <w:p w14:paraId="0FB1840E">
      <w:pPr>
        <w:ind w:firstLine="640"/>
        <w:rPr>
          <w:color w:val="auto"/>
        </w:rPr>
      </w:pPr>
      <w:r>
        <w:rPr>
          <w:color w:val="auto"/>
        </w:rPr>
        <w:t>3</w:t>
      </w:r>
      <w:r>
        <w:rPr>
          <w:rFonts w:hint="eastAsia"/>
          <w:color w:val="auto"/>
        </w:rPr>
        <w:t>、</w:t>
      </w:r>
      <w:r>
        <w:rPr>
          <w:color w:val="auto"/>
        </w:rPr>
        <w:t>甲方负责协调解决涉及乙方范围内的工作，并指定专人配合。</w:t>
      </w:r>
    </w:p>
    <w:p w14:paraId="2823CDAD">
      <w:pPr>
        <w:ind w:firstLine="640"/>
        <w:rPr>
          <w:color w:val="auto"/>
        </w:rPr>
      </w:pPr>
      <w:r>
        <w:rPr>
          <w:rFonts w:hint="eastAsia"/>
          <w:color w:val="auto"/>
        </w:rPr>
        <w:t>（</w:t>
      </w:r>
      <w:r>
        <w:rPr>
          <w:color w:val="auto"/>
        </w:rPr>
        <w:t>二</w:t>
      </w:r>
      <w:r>
        <w:rPr>
          <w:rFonts w:hint="eastAsia"/>
          <w:color w:val="auto"/>
        </w:rPr>
        <w:t>）</w:t>
      </w:r>
      <w:r>
        <w:rPr>
          <w:color w:val="auto"/>
        </w:rPr>
        <w:t>乙方的权利与义务</w:t>
      </w:r>
    </w:p>
    <w:p w14:paraId="00962F5B">
      <w:pPr>
        <w:ind w:firstLine="640"/>
        <w:rPr>
          <w:color w:val="auto"/>
        </w:rPr>
      </w:pPr>
      <w:r>
        <w:rPr>
          <w:color w:val="auto"/>
        </w:rPr>
        <w:t>1</w:t>
      </w:r>
      <w:r>
        <w:rPr>
          <w:rFonts w:hint="eastAsia"/>
          <w:color w:val="auto"/>
        </w:rPr>
        <w:t>、</w:t>
      </w:r>
      <w:r>
        <w:rPr>
          <w:color w:val="auto"/>
        </w:rPr>
        <w:t>乙方负责按规定的时间完成甲方交付的全部工作。</w:t>
      </w:r>
    </w:p>
    <w:p w14:paraId="1CA370CE">
      <w:pPr>
        <w:ind w:firstLine="640"/>
        <w:rPr>
          <w:color w:val="auto"/>
        </w:rPr>
      </w:pPr>
      <w:r>
        <w:rPr>
          <w:color w:val="auto"/>
        </w:rPr>
        <w:t>2</w:t>
      </w:r>
      <w:r>
        <w:rPr>
          <w:rFonts w:hint="eastAsia"/>
          <w:color w:val="auto"/>
        </w:rPr>
        <w:t>、</w:t>
      </w:r>
      <w:r>
        <w:rPr>
          <w:color w:val="auto"/>
        </w:rPr>
        <w:t>协助甲方完成相关工作。</w:t>
      </w:r>
    </w:p>
    <w:p w14:paraId="452B51E6">
      <w:pPr>
        <w:ind w:firstLine="640"/>
        <w:rPr>
          <w:color w:val="auto"/>
        </w:rPr>
      </w:pPr>
      <w:r>
        <w:rPr>
          <w:color w:val="auto"/>
        </w:rPr>
        <w:t>3</w:t>
      </w:r>
      <w:r>
        <w:rPr>
          <w:rFonts w:hint="eastAsia"/>
          <w:color w:val="auto"/>
        </w:rPr>
        <w:t>、</w:t>
      </w:r>
      <w:r>
        <w:rPr>
          <w:color w:val="auto"/>
        </w:rPr>
        <w:t>确保工作成果</w:t>
      </w:r>
      <w:r>
        <w:rPr>
          <w:rFonts w:hint="eastAsia"/>
          <w:color w:val="auto"/>
        </w:rPr>
        <w:t>，与国家、省相关规划一致，具有一定的前瞻性并保持连续性。</w:t>
      </w:r>
    </w:p>
    <w:p w14:paraId="25F10AC7">
      <w:pPr>
        <w:ind w:firstLine="676"/>
        <w:rPr>
          <w:rFonts w:hint="eastAsia"/>
          <w:color w:val="auto"/>
          <w:spacing w:val="9"/>
        </w:rPr>
      </w:pPr>
      <w:r>
        <w:rPr>
          <w:rFonts w:hint="eastAsia"/>
          <w:color w:val="auto"/>
          <w:spacing w:val="9"/>
          <w:lang w:val="en-US" w:eastAsia="zh-CN"/>
        </w:rPr>
        <w:t>4</w:t>
      </w:r>
      <w:r>
        <w:rPr>
          <w:rFonts w:hint="eastAsia"/>
          <w:color w:val="auto"/>
          <w:spacing w:val="9"/>
        </w:rPr>
        <w:t>.乙方须对合同履行期间知悉的甲方商业秘密、技术信息等未公开内容严格保密，未经甲方书面同意，不得向第三方披露或使用，保密义务在合同终止后2年内依然有效。</w:t>
      </w:r>
    </w:p>
    <w:p w14:paraId="365D1129">
      <w:pPr>
        <w:ind w:firstLine="676"/>
        <w:rPr>
          <w:rFonts w:hint="eastAsia"/>
          <w:color w:val="auto"/>
          <w:spacing w:val="9"/>
        </w:rPr>
      </w:pPr>
      <w:r>
        <w:rPr>
          <w:rFonts w:hint="eastAsia"/>
          <w:color w:val="auto"/>
          <w:spacing w:val="9"/>
          <w:lang w:val="en-US" w:eastAsia="zh-CN"/>
        </w:rPr>
        <w:t>5</w:t>
      </w:r>
      <w:r>
        <w:rPr>
          <w:rFonts w:hint="eastAsia"/>
          <w:color w:val="auto"/>
          <w:spacing w:val="9"/>
        </w:rPr>
        <w:t>.若乙方违反保密义务，甲方有权要求其停止违约、消除影响，乙方需赔偿甲方全部损失，并支付合同总额 20% 的违约金，情节严重时甲方可解除合同并追究法律责任。</w:t>
      </w:r>
    </w:p>
    <w:p w14:paraId="29F1B956">
      <w:pPr>
        <w:ind w:firstLine="676"/>
        <w:rPr>
          <w:rFonts w:cs="仿宋"/>
          <w:b/>
          <w:bCs/>
          <w:color w:val="auto"/>
        </w:rPr>
      </w:pPr>
      <w:r>
        <w:rPr>
          <w:rFonts w:hint="eastAsia"/>
          <w:b/>
          <w:bCs/>
          <w:color w:val="auto"/>
          <w:spacing w:val="9"/>
        </w:rPr>
        <w:t>七</w:t>
      </w:r>
      <w:r>
        <w:rPr>
          <w:rFonts w:hint="eastAsia"/>
          <w:b/>
          <w:bCs/>
          <w:color w:val="auto"/>
        </w:rPr>
        <w:t>、验收方式</w:t>
      </w:r>
    </w:p>
    <w:p w14:paraId="395FF30E">
      <w:pPr>
        <w:ind w:firstLine="640"/>
        <w:rPr>
          <w:color w:val="auto"/>
        </w:rPr>
      </w:pPr>
      <w:r>
        <w:rPr>
          <w:color w:val="auto"/>
        </w:rPr>
        <w:t>乙方</w:t>
      </w:r>
      <w:r>
        <w:rPr>
          <w:rFonts w:hint="eastAsia"/>
          <w:color w:val="auto"/>
        </w:rPr>
        <w:t>提交规划设计文件并通过省级人民政府批准</w:t>
      </w:r>
      <w:r>
        <w:rPr>
          <w:color w:val="auto"/>
        </w:rPr>
        <w:t>。</w:t>
      </w:r>
    </w:p>
    <w:p w14:paraId="30FC3F9F">
      <w:pPr>
        <w:ind w:firstLine="678"/>
        <w:rPr>
          <w:rFonts w:cs="仿宋"/>
          <w:b/>
          <w:bCs/>
          <w:color w:val="auto"/>
        </w:rPr>
      </w:pPr>
      <w:r>
        <w:rPr>
          <w:rFonts w:hint="eastAsia"/>
          <w:b/>
          <w:bCs/>
          <w:color w:val="auto"/>
          <w:spacing w:val="9"/>
        </w:rPr>
        <w:t>八</w:t>
      </w:r>
      <w:r>
        <w:rPr>
          <w:rFonts w:hint="eastAsia"/>
          <w:b/>
          <w:bCs/>
          <w:color w:val="auto"/>
        </w:rPr>
        <w:t>、其它事项</w:t>
      </w:r>
    </w:p>
    <w:p w14:paraId="582180F1">
      <w:pPr>
        <w:ind w:firstLine="640"/>
        <w:rPr>
          <w:color w:val="auto"/>
        </w:rPr>
      </w:pPr>
      <w:r>
        <w:rPr>
          <w:rFonts w:hint="eastAsia"/>
          <w:color w:val="auto"/>
        </w:rPr>
        <w:t>（</w:t>
      </w:r>
      <w:r>
        <w:rPr>
          <w:color w:val="auto"/>
        </w:rPr>
        <w:t>一</w:t>
      </w:r>
      <w:r>
        <w:rPr>
          <w:rFonts w:hint="eastAsia"/>
          <w:color w:val="auto"/>
        </w:rPr>
        <w:t>）</w:t>
      </w:r>
      <w:r>
        <w:rPr>
          <w:color w:val="auto"/>
        </w:rPr>
        <w:t>乙方不得转让、分包给其它单位或个人。</w:t>
      </w:r>
    </w:p>
    <w:p w14:paraId="185C70A6">
      <w:pPr>
        <w:ind w:firstLine="640"/>
        <w:rPr>
          <w:color w:val="auto"/>
        </w:rPr>
      </w:pPr>
      <w:r>
        <w:rPr>
          <w:rFonts w:hint="eastAsia"/>
          <w:color w:val="auto"/>
        </w:rPr>
        <w:t>（</w:t>
      </w:r>
      <w:r>
        <w:rPr>
          <w:color w:val="auto"/>
        </w:rPr>
        <w:t>二</w:t>
      </w:r>
      <w:r>
        <w:rPr>
          <w:rFonts w:hint="eastAsia"/>
          <w:color w:val="auto"/>
        </w:rPr>
        <w:t>）</w:t>
      </w:r>
      <w:r>
        <w:rPr>
          <w:color w:val="auto"/>
        </w:rPr>
        <w:t>乙方的响应文件和承诺等内容将列入合同。</w:t>
      </w:r>
    </w:p>
    <w:p w14:paraId="2D5A54A4">
      <w:pPr>
        <w:ind w:firstLine="640"/>
        <w:rPr>
          <w:color w:val="auto"/>
        </w:rPr>
      </w:pPr>
      <w:r>
        <w:rPr>
          <w:rFonts w:hint="eastAsia"/>
          <w:color w:val="auto"/>
        </w:rPr>
        <w:t>（三）乙方负责规划的编制、报审、批复，并向甲方提供最终规划文本20 份。</w:t>
      </w:r>
    </w:p>
    <w:p w14:paraId="7D6DE43A">
      <w:pPr>
        <w:ind w:firstLine="640"/>
        <w:rPr>
          <w:color w:val="auto"/>
        </w:rPr>
      </w:pPr>
      <w:r>
        <w:rPr>
          <w:rFonts w:hint="eastAsia"/>
          <w:color w:val="auto"/>
        </w:rPr>
        <w:t>（四）未定事项双方协商解决。</w:t>
      </w:r>
    </w:p>
    <w:p w14:paraId="7BD97E4D">
      <w:pPr>
        <w:ind w:firstLine="643"/>
        <w:rPr>
          <w:rFonts w:cs="仿宋"/>
          <w:b/>
          <w:bCs/>
          <w:color w:val="auto"/>
        </w:rPr>
      </w:pPr>
      <w:r>
        <w:rPr>
          <w:rFonts w:hint="eastAsia"/>
          <w:b/>
          <w:bCs/>
          <w:color w:val="auto"/>
        </w:rPr>
        <w:t>九、知识产权归</w:t>
      </w:r>
      <w:r>
        <w:rPr>
          <w:rFonts w:hint="eastAsia"/>
          <w:b/>
          <w:bCs/>
          <w:color w:val="auto"/>
          <w:spacing w:val="6"/>
        </w:rPr>
        <w:t>属</w:t>
      </w:r>
    </w:p>
    <w:p w14:paraId="743A17A7">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cs="宋体"/>
          <w:spacing w:val="0"/>
          <w:w w:val="100"/>
          <w:sz w:val="24"/>
          <w:szCs w:val="24"/>
          <w:highlight w:val="none"/>
          <w:lang w:val="en-US" w:eastAsia="zh-CN"/>
        </w:rPr>
        <w:t>1.</w:t>
      </w:r>
      <w:r>
        <w:rPr>
          <w:rFonts w:hint="eastAsia" w:ascii="宋体" w:hAnsi="宋体" w:eastAsia="宋体" w:cs="宋体"/>
          <w:spacing w:val="0"/>
          <w:w w:val="100"/>
          <w:sz w:val="24"/>
          <w:szCs w:val="24"/>
          <w:highlight w:val="none"/>
          <w:lang w:val="en-US" w:eastAsia="zh-CN"/>
        </w:rPr>
        <w:t>知识产权归属：本项目产生的专利、商标、著作权等所有知识产权均归</w:t>
      </w:r>
      <w:r>
        <w:rPr>
          <w:rFonts w:hint="eastAsia" w:ascii="宋体" w:hAnsi="宋体" w:cs="宋体"/>
          <w:spacing w:val="0"/>
          <w:w w:val="100"/>
          <w:sz w:val="24"/>
          <w:szCs w:val="24"/>
          <w:highlight w:val="none"/>
          <w:lang w:val="en-US" w:eastAsia="zh-CN"/>
        </w:rPr>
        <w:t>甲方</w:t>
      </w:r>
      <w:r>
        <w:rPr>
          <w:rFonts w:hint="eastAsia" w:ascii="宋体" w:hAnsi="宋体" w:eastAsia="宋体" w:cs="宋体"/>
          <w:spacing w:val="0"/>
          <w:w w:val="100"/>
          <w:sz w:val="24"/>
          <w:szCs w:val="24"/>
          <w:highlight w:val="none"/>
          <w:lang w:val="en-US" w:eastAsia="zh-CN"/>
        </w:rPr>
        <w:t>，</w:t>
      </w:r>
      <w:r>
        <w:rPr>
          <w:rFonts w:hint="eastAsia" w:ascii="宋体" w:hAnsi="宋体" w:cs="宋体"/>
          <w:spacing w:val="0"/>
          <w:w w:val="100"/>
          <w:sz w:val="24"/>
          <w:szCs w:val="24"/>
          <w:highlight w:val="none"/>
          <w:lang w:val="en-US" w:eastAsia="zh-CN"/>
        </w:rPr>
        <w:t>乙方</w:t>
      </w:r>
      <w:r>
        <w:rPr>
          <w:rFonts w:hint="eastAsia" w:ascii="宋体" w:hAnsi="宋体" w:eastAsia="宋体" w:cs="宋体"/>
          <w:spacing w:val="0"/>
          <w:w w:val="100"/>
          <w:sz w:val="24"/>
          <w:szCs w:val="24"/>
          <w:highlight w:val="none"/>
          <w:lang w:val="en-US" w:eastAsia="zh-CN"/>
        </w:rPr>
        <w:t>需在知识产权产生后15个工作日内提交资料并协助办理相关手续。</w:t>
      </w:r>
    </w:p>
    <w:p w14:paraId="789DB533">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cs="宋体"/>
          <w:spacing w:val="0"/>
          <w:w w:val="100"/>
          <w:sz w:val="24"/>
          <w:szCs w:val="24"/>
          <w:highlight w:val="none"/>
          <w:lang w:val="en-US" w:eastAsia="zh-CN"/>
        </w:rPr>
        <w:t>2.</w:t>
      </w:r>
      <w:r>
        <w:rPr>
          <w:rFonts w:hint="eastAsia" w:ascii="宋体" w:hAnsi="宋体" w:eastAsia="宋体" w:cs="宋体"/>
          <w:spacing w:val="0"/>
          <w:w w:val="100"/>
          <w:sz w:val="24"/>
          <w:szCs w:val="24"/>
          <w:highlight w:val="none"/>
          <w:lang w:val="en-US" w:eastAsia="zh-CN"/>
        </w:rPr>
        <w:t>使用限制：</w:t>
      </w:r>
      <w:r>
        <w:rPr>
          <w:rFonts w:hint="eastAsia" w:ascii="宋体" w:hAnsi="宋体" w:cs="宋体"/>
          <w:spacing w:val="0"/>
          <w:w w:val="100"/>
          <w:sz w:val="24"/>
          <w:szCs w:val="24"/>
          <w:highlight w:val="none"/>
          <w:lang w:val="en-US" w:eastAsia="zh-CN"/>
        </w:rPr>
        <w:t>乙方</w:t>
      </w:r>
      <w:r>
        <w:rPr>
          <w:rFonts w:hint="eastAsia" w:ascii="宋体" w:hAnsi="宋体" w:eastAsia="宋体" w:cs="宋体"/>
          <w:spacing w:val="0"/>
          <w:w w:val="100"/>
          <w:sz w:val="24"/>
          <w:szCs w:val="24"/>
          <w:highlight w:val="none"/>
          <w:lang w:val="en-US" w:eastAsia="zh-CN"/>
        </w:rPr>
        <w:t>仅可在合同约定范围内使用相关知识产权及技术资料，如需用于其他目的，须提前10个工作日获</w:t>
      </w:r>
      <w:r>
        <w:rPr>
          <w:rFonts w:hint="eastAsia" w:ascii="宋体" w:hAnsi="宋体" w:cs="宋体"/>
          <w:spacing w:val="0"/>
          <w:w w:val="100"/>
          <w:sz w:val="24"/>
          <w:szCs w:val="24"/>
          <w:highlight w:val="none"/>
          <w:lang w:val="en-US" w:eastAsia="zh-CN"/>
        </w:rPr>
        <w:t>甲方</w:t>
      </w:r>
      <w:r>
        <w:rPr>
          <w:rFonts w:hint="eastAsia" w:ascii="宋体" w:hAnsi="宋体" w:eastAsia="宋体" w:cs="宋体"/>
          <w:spacing w:val="0"/>
          <w:w w:val="100"/>
          <w:sz w:val="24"/>
          <w:szCs w:val="24"/>
          <w:highlight w:val="none"/>
          <w:lang w:val="en-US" w:eastAsia="zh-CN"/>
        </w:rPr>
        <w:t>书面同意。</w:t>
      </w:r>
    </w:p>
    <w:p w14:paraId="18B78D28">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cs="宋体"/>
          <w:spacing w:val="0"/>
          <w:w w:val="100"/>
          <w:sz w:val="24"/>
          <w:szCs w:val="24"/>
          <w:highlight w:val="none"/>
          <w:lang w:val="en-US" w:eastAsia="zh-CN"/>
        </w:rPr>
        <w:t>3.</w:t>
      </w:r>
      <w:r>
        <w:rPr>
          <w:rFonts w:hint="eastAsia" w:ascii="宋体" w:hAnsi="宋体" w:eastAsia="宋体" w:cs="宋体"/>
          <w:spacing w:val="0"/>
          <w:w w:val="100"/>
          <w:sz w:val="24"/>
          <w:szCs w:val="24"/>
          <w:highlight w:val="none"/>
          <w:lang w:val="en-US" w:eastAsia="zh-CN"/>
        </w:rPr>
        <w:t>侵权责任：</w:t>
      </w:r>
      <w:r>
        <w:rPr>
          <w:rFonts w:hint="eastAsia" w:ascii="宋体" w:hAnsi="宋体" w:cs="宋体"/>
          <w:spacing w:val="0"/>
          <w:w w:val="100"/>
          <w:sz w:val="24"/>
          <w:szCs w:val="24"/>
          <w:highlight w:val="none"/>
          <w:lang w:val="en-US" w:eastAsia="zh-CN"/>
        </w:rPr>
        <w:t>乙方</w:t>
      </w:r>
      <w:r>
        <w:rPr>
          <w:rFonts w:hint="eastAsia" w:ascii="宋体" w:hAnsi="宋体" w:eastAsia="宋体" w:cs="宋体"/>
          <w:spacing w:val="0"/>
          <w:w w:val="100"/>
          <w:sz w:val="24"/>
          <w:szCs w:val="24"/>
          <w:highlight w:val="none"/>
          <w:lang w:val="en-US" w:eastAsia="zh-CN"/>
        </w:rPr>
        <w:t>侵犯</w:t>
      </w:r>
      <w:r>
        <w:rPr>
          <w:rFonts w:hint="eastAsia" w:ascii="宋体" w:hAnsi="宋体" w:cs="宋体"/>
          <w:spacing w:val="0"/>
          <w:w w:val="100"/>
          <w:sz w:val="24"/>
          <w:szCs w:val="24"/>
          <w:highlight w:val="none"/>
          <w:lang w:val="en-US" w:eastAsia="zh-CN"/>
        </w:rPr>
        <w:t>甲方</w:t>
      </w:r>
      <w:r>
        <w:rPr>
          <w:rFonts w:hint="eastAsia" w:ascii="宋体" w:hAnsi="宋体" w:eastAsia="宋体" w:cs="宋体"/>
          <w:spacing w:val="0"/>
          <w:w w:val="100"/>
          <w:sz w:val="24"/>
          <w:szCs w:val="24"/>
          <w:highlight w:val="none"/>
          <w:lang w:val="en-US" w:eastAsia="zh-CN"/>
        </w:rPr>
        <w:t>或第三方知识产权，</w:t>
      </w:r>
      <w:r>
        <w:rPr>
          <w:rFonts w:hint="eastAsia" w:ascii="宋体" w:hAnsi="宋体" w:cs="宋体"/>
          <w:spacing w:val="0"/>
          <w:w w:val="100"/>
          <w:sz w:val="24"/>
          <w:szCs w:val="24"/>
          <w:highlight w:val="none"/>
          <w:lang w:val="en-US" w:eastAsia="zh-CN"/>
        </w:rPr>
        <w:t>甲方</w:t>
      </w:r>
      <w:r>
        <w:rPr>
          <w:rFonts w:hint="eastAsia" w:ascii="宋体" w:hAnsi="宋体" w:eastAsia="宋体" w:cs="宋体"/>
          <w:spacing w:val="0"/>
          <w:w w:val="100"/>
          <w:sz w:val="24"/>
          <w:szCs w:val="24"/>
          <w:highlight w:val="none"/>
          <w:lang w:val="en-US" w:eastAsia="zh-CN"/>
        </w:rPr>
        <w:t>有权要求立即停止侵权、消除影响、赔偿全部损失（含维权费用），并支付合同金额20%的违约金，情节严重可解除合同。</w:t>
      </w:r>
    </w:p>
    <w:p w14:paraId="370D87DA">
      <w:pPr>
        <w:widowControl/>
        <w:kinsoku/>
        <w:autoSpaceDE/>
        <w:autoSpaceDN/>
        <w:adjustRightInd/>
        <w:snapToGrid/>
        <w:spacing w:line="360" w:lineRule="auto"/>
        <w:ind w:firstLine="480"/>
        <w:jc w:val="left"/>
        <w:textAlignment w:val="auto"/>
        <w:rPr>
          <w:rFonts w:hint="eastAsia" w:ascii="宋体" w:hAnsi="宋体" w:eastAsia="宋体" w:cs="宋体"/>
          <w:spacing w:val="0"/>
          <w:w w:val="100"/>
          <w:sz w:val="24"/>
          <w:szCs w:val="24"/>
          <w:highlight w:val="none"/>
          <w:lang w:val="en-US" w:eastAsia="zh-CN"/>
        </w:rPr>
      </w:pPr>
      <w:r>
        <w:rPr>
          <w:rFonts w:hint="eastAsia" w:ascii="宋体" w:hAnsi="宋体" w:cs="宋体"/>
          <w:spacing w:val="0"/>
          <w:w w:val="100"/>
          <w:sz w:val="24"/>
          <w:szCs w:val="24"/>
          <w:highlight w:val="none"/>
          <w:lang w:val="en-US" w:eastAsia="zh-CN"/>
        </w:rPr>
        <w:t>4.</w:t>
      </w:r>
      <w:r>
        <w:rPr>
          <w:rFonts w:hint="eastAsia" w:ascii="宋体" w:hAnsi="宋体" w:eastAsia="宋体" w:cs="宋体"/>
          <w:spacing w:val="0"/>
          <w:w w:val="100"/>
          <w:sz w:val="24"/>
          <w:szCs w:val="24"/>
          <w:highlight w:val="none"/>
          <w:lang w:val="en-US" w:eastAsia="zh-CN"/>
        </w:rPr>
        <w:t>技术资料管理：</w:t>
      </w:r>
      <w:r>
        <w:rPr>
          <w:rFonts w:hint="eastAsia" w:ascii="宋体" w:hAnsi="宋体" w:cs="宋体"/>
          <w:spacing w:val="0"/>
          <w:w w:val="100"/>
          <w:sz w:val="24"/>
          <w:szCs w:val="24"/>
          <w:highlight w:val="none"/>
          <w:lang w:val="en-US" w:eastAsia="zh-CN"/>
        </w:rPr>
        <w:t>乙方</w:t>
      </w:r>
      <w:r>
        <w:rPr>
          <w:rFonts w:hint="eastAsia" w:ascii="宋体" w:hAnsi="宋体" w:eastAsia="宋体" w:cs="宋体"/>
          <w:spacing w:val="0"/>
          <w:w w:val="100"/>
          <w:sz w:val="24"/>
          <w:szCs w:val="24"/>
          <w:highlight w:val="none"/>
          <w:lang w:val="en-US" w:eastAsia="zh-CN"/>
        </w:rPr>
        <w:t>提供的技术资料使用权归</w:t>
      </w:r>
      <w:r>
        <w:rPr>
          <w:rFonts w:hint="eastAsia" w:ascii="宋体" w:hAnsi="宋体" w:cs="宋体"/>
          <w:spacing w:val="0"/>
          <w:w w:val="100"/>
          <w:sz w:val="24"/>
          <w:szCs w:val="24"/>
          <w:highlight w:val="none"/>
          <w:lang w:val="en-US" w:eastAsia="zh-CN"/>
        </w:rPr>
        <w:t>甲方</w:t>
      </w:r>
      <w:r>
        <w:rPr>
          <w:rFonts w:hint="eastAsia" w:ascii="宋体" w:hAnsi="宋体" w:eastAsia="宋体" w:cs="宋体"/>
          <w:spacing w:val="0"/>
          <w:w w:val="100"/>
          <w:sz w:val="24"/>
          <w:szCs w:val="24"/>
          <w:highlight w:val="none"/>
          <w:lang w:val="en-US" w:eastAsia="zh-CN"/>
        </w:rPr>
        <w:t>，合同终止后10个工作日内。</w:t>
      </w:r>
    </w:p>
    <w:p w14:paraId="1DA6EBA3">
      <w:pPr>
        <w:ind w:firstLine="640"/>
        <w:rPr>
          <w:color w:val="auto"/>
        </w:rPr>
      </w:pPr>
      <w:r>
        <w:rPr>
          <w:rFonts w:hint="eastAsia" w:ascii="宋体" w:hAnsi="宋体" w:cs="宋体"/>
          <w:spacing w:val="0"/>
          <w:w w:val="100"/>
          <w:sz w:val="24"/>
          <w:szCs w:val="24"/>
          <w:highlight w:val="none"/>
          <w:lang w:val="en-US" w:eastAsia="zh-CN"/>
        </w:rPr>
        <w:t>5.</w:t>
      </w:r>
      <w:r>
        <w:rPr>
          <w:rFonts w:hint="eastAsia" w:ascii="宋体" w:hAnsi="宋体" w:eastAsia="宋体" w:cs="宋体"/>
          <w:spacing w:val="0"/>
          <w:w w:val="100"/>
          <w:sz w:val="24"/>
          <w:szCs w:val="24"/>
          <w:highlight w:val="none"/>
          <w:lang w:val="en-US" w:eastAsia="zh-CN"/>
        </w:rPr>
        <w:t>争议解决：因本条款产生争议，先协商；协商不成，向</w:t>
      </w:r>
      <w:r>
        <w:rPr>
          <w:rFonts w:hint="eastAsia" w:ascii="宋体" w:hAnsi="宋体" w:cs="宋体"/>
          <w:spacing w:val="0"/>
          <w:w w:val="100"/>
          <w:sz w:val="24"/>
          <w:szCs w:val="24"/>
          <w:highlight w:val="none"/>
          <w:lang w:val="en-US" w:eastAsia="zh-CN"/>
        </w:rPr>
        <w:t>甲方</w:t>
      </w:r>
      <w:r>
        <w:rPr>
          <w:rFonts w:hint="eastAsia" w:ascii="宋体" w:hAnsi="宋体" w:eastAsia="宋体" w:cs="宋体"/>
          <w:spacing w:val="0"/>
          <w:w w:val="100"/>
          <w:sz w:val="24"/>
          <w:szCs w:val="24"/>
          <w:highlight w:val="none"/>
          <w:lang w:val="en-US" w:eastAsia="zh-CN"/>
        </w:rPr>
        <w:t>所在地法院诉讼。</w:t>
      </w:r>
    </w:p>
    <w:p w14:paraId="7C1416C2">
      <w:pPr>
        <w:ind w:firstLine="643"/>
        <w:rPr>
          <w:rFonts w:cs="仿宋"/>
          <w:b/>
          <w:bCs/>
          <w:color w:val="auto"/>
        </w:rPr>
      </w:pPr>
      <w:r>
        <w:rPr>
          <w:rFonts w:hint="eastAsia"/>
          <w:b/>
          <w:bCs/>
          <w:color w:val="auto"/>
        </w:rPr>
        <w:t>十、违约责任</w:t>
      </w:r>
    </w:p>
    <w:p w14:paraId="29BA13D4">
      <w:pPr>
        <w:ind w:firstLine="640"/>
        <w:rPr>
          <w:color w:val="auto"/>
        </w:rPr>
      </w:pPr>
      <w:r>
        <w:rPr>
          <w:rFonts w:hint="eastAsia"/>
          <w:color w:val="auto"/>
        </w:rPr>
        <w:t>（</w:t>
      </w:r>
      <w:r>
        <w:rPr>
          <w:color w:val="auto"/>
        </w:rPr>
        <w:t>一</w:t>
      </w:r>
      <w:r>
        <w:rPr>
          <w:rFonts w:hint="eastAsia"/>
          <w:color w:val="auto"/>
        </w:rPr>
        <w:t>）</w:t>
      </w:r>
      <w:r>
        <w:rPr>
          <w:color w:val="auto"/>
        </w:rPr>
        <w:t>按《中华人民共和国民法典》中的相关条款执行。</w:t>
      </w:r>
    </w:p>
    <w:p w14:paraId="655ADAFF">
      <w:pPr>
        <w:ind w:firstLine="640"/>
        <w:rPr>
          <w:color w:val="auto"/>
        </w:rPr>
      </w:pPr>
      <w:r>
        <w:rPr>
          <w:rFonts w:hint="eastAsia"/>
          <w:color w:val="auto"/>
        </w:rPr>
        <w:t>（二）</w:t>
      </w:r>
      <w:r>
        <w:rPr>
          <w:color w:val="auto"/>
        </w:rPr>
        <w:t>未按合同要求提供服务或服务质量不能满足本次招标要求，甲方有权终止合同和对乙方违约行为进行追究。</w:t>
      </w:r>
    </w:p>
    <w:p w14:paraId="1E0ACD68">
      <w:pPr>
        <w:ind w:firstLine="640"/>
        <w:rPr>
          <w:rFonts w:hint="eastAsia" w:ascii="宋体" w:hAnsi="宋体" w:eastAsia="宋体" w:cs="宋体"/>
          <w:spacing w:val="0"/>
          <w:w w:val="100"/>
          <w:sz w:val="24"/>
          <w:szCs w:val="24"/>
          <w:highlight w:val="none"/>
          <w:lang w:val="en-US" w:eastAsia="zh-CN"/>
        </w:rPr>
      </w:pPr>
      <w:r>
        <w:rPr>
          <w:rFonts w:hint="eastAsia" w:ascii="宋体" w:hAnsi="宋体" w:cs="宋体"/>
          <w:spacing w:val="0"/>
          <w:w w:val="100"/>
          <w:sz w:val="24"/>
          <w:szCs w:val="24"/>
          <w:highlight w:val="none"/>
          <w:lang w:val="en-US" w:eastAsia="zh-CN"/>
        </w:rPr>
        <w:t>（三）</w:t>
      </w:r>
      <w:r>
        <w:rPr>
          <w:rFonts w:hint="eastAsia" w:ascii="宋体" w:hAnsi="宋体" w:eastAsia="宋体" w:cs="宋体"/>
          <w:spacing w:val="0"/>
          <w:w w:val="100"/>
          <w:sz w:val="24"/>
          <w:szCs w:val="24"/>
          <w:highlight w:val="none"/>
          <w:lang w:val="en-US" w:eastAsia="zh-CN"/>
        </w:rPr>
        <w:t>如乙方逾期交付服务成果，每逾期1日乙方向甲方支付合同总金额</w:t>
      </w:r>
      <w:r>
        <w:rPr>
          <w:rFonts w:hint="eastAsia" w:ascii="宋体" w:hAnsi="宋体" w:cs="宋体"/>
          <w:spacing w:val="0"/>
          <w:w w:val="100"/>
          <w:sz w:val="24"/>
          <w:szCs w:val="24"/>
          <w:highlight w:val="none"/>
          <w:lang w:val="en-US" w:eastAsia="zh-CN"/>
        </w:rPr>
        <w:t>同期全国银行间同业拆借中心发布的市场报价利率的4倍</w:t>
      </w:r>
      <w:r>
        <w:rPr>
          <w:rFonts w:hint="eastAsia" w:ascii="宋体" w:hAnsi="宋体" w:eastAsia="宋体" w:cs="宋体"/>
          <w:spacing w:val="0"/>
          <w:w w:val="100"/>
          <w:sz w:val="24"/>
          <w:szCs w:val="24"/>
          <w:highlight w:val="none"/>
          <w:lang w:val="en-US" w:eastAsia="zh-CN"/>
        </w:rPr>
        <w:t>的滞纳金。如逾期交付超过30日，甲方有权决定是否继续履行合同，如甲方决定终止履行合同的，乙方应向甲方支付合同总金额百分之二十的违约金，并且赔偿甲方因此所遭受的损失。</w:t>
      </w:r>
    </w:p>
    <w:p w14:paraId="278D7E2E">
      <w:pPr>
        <w:ind w:firstLine="640"/>
        <w:rPr>
          <w:color w:val="auto"/>
        </w:rPr>
      </w:pPr>
      <w:r>
        <w:rPr>
          <w:rFonts w:hint="eastAsia" w:ascii="宋体" w:hAnsi="宋体" w:cs="宋体"/>
          <w:spacing w:val="0"/>
          <w:w w:val="100"/>
          <w:sz w:val="24"/>
          <w:szCs w:val="24"/>
          <w:highlight w:val="none"/>
          <w:lang w:val="en-US" w:eastAsia="zh-CN"/>
        </w:rPr>
        <w:t>（四）</w:t>
      </w:r>
      <w:r>
        <w:rPr>
          <w:rFonts w:hint="eastAsia" w:ascii="宋体" w:hAnsi="宋体" w:eastAsia="宋体" w:cs="宋体"/>
          <w:spacing w:val="0"/>
          <w:w w:val="100"/>
          <w:sz w:val="24"/>
          <w:szCs w:val="24"/>
          <w:highlight w:val="none"/>
          <w:lang w:val="en-US" w:eastAsia="zh-CN"/>
        </w:rPr>
        <w:t>乙方遇到可能非因客观原因而妨碍按时交付(完工)和提供服务的情况，应当及时以书面形式通知甲方，说明原由、拖延的期限等；甲方在接收到通知后，尽快进行情况评估，</w:t>
      </w:r>
      <w:r>
        <w:rPr>
          <w:rFonts w:hint="eastAsia" w:ascii="宋体" w:hAnsi="宋体" w:cs="宋体"/>
          <w:spacing w:val="0"/>
          <w:w w:val="100"/>
          <w:sz w:val="24"/>
          <w:szCs w:val="24"/>
          <w:highlight w:val="none"/>
          <w:lang w:val="en-US" w:eastAsia="zh-CN"/>
        </w:rPr>
        <w:t>甲方认为有必要延期的</w:t>
      </w:r>
      <w:r>
        <w:rPr>
          <w:rFonts w:hint="eastAsia" w:ascii="宋体" w:hAnsi="宋体" w:eastAsia="宋体" w:cs="宋体"/>
          <w:spacing w:val="0"/>
          <w:w w:val="100"/>
          <w:sz w:val="24"/>
          <w:szCs w:val="24"/>
          <w:highlight w:val="none"/>
          <w:lang w:val="en-US" w:eastAsia="zh-CN"/>
        </w:rPr>
        <w:t>则向乙方发出书面许可，乙方凭此可相应延长交付(完工)时间。若乙方未经甲方书面许可而自行延期的，视为逾期交付服务成果，每逾期一日应向甲方支付合同总金额的</w:t>
      </w:r>
      <w:r>
        <w:rPr>
          <w:rFonts w:hint="eastAsia" w:ascii="宋体" w:hAnsi="宋体" w:cs="宋体"/>
          <w:spacing w:val="0"/>
          <w:w w:val="100"/>
          <w:sz w:val="24"/>
          <w:szCs w:val="24"/>
          <w:highlight w:val="none"/>
          <w:lang w:val="en-US" w:eastAsia="zh-CN"/>
        </w:rPr>
        <w:t>同期全国银行间同业拆借中心发布的市场报价利率的4倍</w:t>
      </w:r>
      <w:r>
        <w:rPr>
          <w:rFonts w:hint="eastAsia" w:ascii="宋体" w:hAnsi="宋体" w:eastAsia="宋体" w:cs="宋体"/>
          <w:spacing w:val="0"/>
          <w:w w:val="100"/>
          <w:sz w:val="24"/>
          <w:szCs w:val="24"/>
          <w:highlight w:val="none"/>
          <w:lang w:val="en-US" w:eastAsia="zh-CN"/>
        </w:rPr>
        <w:t>的滞纳金。</w:t>
      </w:r>
    </w:p>
    <w:p w14:paraId="669E5AC4">
      <w:pPr>
        <w:ind w:firstLine="640"/>
        <w:rPr>
          <w:color w:val="auto"/>
        </w:rPr>
      </w:pPr>
      <w:r>
        <w:rPr>
          <w:rFonts w:hint="eastAsia"/>
          <w:color w:val="auto"/>
        </w:rPr>
        <w:t>（</w:t>
      </w:r>
      <w:r>
        <w:rPr>
          <w:rFonts w:hint="eastAsia"/>
          <w:color w:val="auto"/>
          <w:lang w:val="en-US" w:eastAsia="zh-CN"/>
        </w:rPr>
        <w:t>五</w:t>
      </w:r>
      <w:r>
        <w:rPr>
          <w:rFonts w:hint="eastAsia"/>
          <w:color w:val="auto"/>
        </w:rPr>
        <w:t>）</w:t>
      </w:r>
      <w:r>
        <w:rPr>
          <w:color w:val="auto"/>
        </w:rPr>
        <w:t>任何一方因不可抗力原因不能履行协议时，应尽快通知对方，双方均设法补偿。如仍无法履约协议，可协商延缓或撤销协议，双方责任免除。</w:t>
      </w:r>
    </w:p>
    <w:p w14:paraId="640D1167">
      <w:pPr>
        <w:ind w:firstLine="703"/>
        <w:rPr>
          <w:rFonts w:cs="仿宋"/>
          <w:b/>
          <w:bCs/>
          <w:color w:val="auto"/>
        </w:rPr>
      </w:pPr>
      <w:r>
        <w:rPr>
          <w:rFonts w:hint="eastAsia"/>
          <w:b/>
          <w:bCs/>
          <w:color w:val="auto"/>
          <w:spacing w:val="15"/>
        </w:rPr>
        <w:t>十</w:t>
      </w:r>
      <w:r>
        <w:rPr>
          <w:rFonts w:hint="eastAsia"/>
          <w:b/>
          <w:bCs/>
          <w:color w:val="auto"/>
        </w:rPr>
        <w:t>一、合同争议解方式</w:t>
      </w:r>
    </w:p>
    <w:p w14:paraId="38BFD2A2">
      <w:pPr>
        <w:ind w:firstLine="640"/>
        <w:rPr>
          <w:color w:val="auto"/>
        </w:rPr>
      </w:pPr>
      <w:r>
        <w:rPr>
          <w:color w:val="auto"/>
        </w:rPr>
        <w:t>本合同在履行过程中发生的争议，由甲、乙双方当事人协商解决，</w:t>
      </w:r>
      <w:r>
        <w:rPr>
          <w:rFonts w:hint="eastAsia"/>
          <w:color w:val="auto"/>
        </w:rPr>
        <w:t>协商解决不成时，双方当事人同意由委托方所在地的人民法院进行诉讼。</w:t>
      </w:r>
    </w:p>
    <w:p w14:paraId="32005C9B">
      <w:pPr>
        <w:ind w:firstLine="683"/>
        <w:rPr>
          <w:b/>
          <w:bCs/>
          <w:color w:val="auto"/>
        </w:rPr>
      </w:pPr>
      <w:r>
        <w:rPr>
          <w:rFonts w:hint="eastAsia"/>
          <w:b/>
          <w:bCs/>
          <w:color w:val="auto"/>
          <w:spacing w:val="10"/>
        </w:rPr>
        <w:t>十</w:t>
      </w:r>
      <w:r>
        <w:rPr>
          <w:b/>
          <w:bCs/>
          <w:color w:val="auto"/>
        </w:rPr>
        <w:t>二、合同生效</w:t>
      </w:r>
    </w:p>
    <w:p w14:paraId="52ED7249">
      <w:pPr>
        <w:ind w:firstLine="640"/>
        <w:rPr>
          <w:color w:val="auto"/>
        </w:rPr>
      </w:pPr>
      <w:r>
        <w:rPr>
          <w:rFonts w:hint="eastAsia"/>
          <w:color w:val="auto"/>
        </w:rPr>
        <w:t>（</w:t>
      </w:r>
      <w:r>
        <w:rPr>
          <w:color w:val="auto"/>
        </w:rPr>
        <w:t>一</w:t>
      </w:r>
      <w:r>
        <w:rPr>
          <w:rFonts w:hint="eastAsia"/>
          <w:color w:val="auto"/>
        </w:rPr>
        <w:t>）</w:t>
      </w:r>
      <w:r>
        <w:rPr>
          <w:color w:val="auto"/>
        </w:rPr>
        <w:t>本合同须经甲、乙双方的法定代表人或授权代表在合同书上签字并加盖本单位公章后正式生效。</w:t>
      </w:r>
    </w:p>
    <w:p w14:paraId="7A463B66">
      <w:pPr>
        <w:ind w:firstLine="640"/>
        <w:rPr>
          <w:color w:val="auto"/>
        </w:rPr>
      </w:pPr>
      <w:r>
        <w:rPr>
          <w:rFonts w:hint="eastAsia"/>
          <w:color w:val="auto"/>
        </w:rPr>
        <w:t>（二）</w:t>
      </w:r>
      <w:r>
        <w:rPr>
          <w:color w:val="auto"/>
        </w:rPr>
        <w:t>合同生效后，甲、乙双方须严格执行本合同条款的规定，全面履行合同，违者按《中华人民共和国民法典》有关规定承担相应责任。</w:t>
      </w:r>
    </w:p>
    <w:p w14:paraId="7361B2EF">
      <w:pPr>
        <w:ind w:firstLine="640"/>
        <w:rPr>
          <w:color w:val="auto"/>
        </w:rPr>
      </w:pPr>
      <w:r>
        <w:rPr>
          <w:rFonts w:hint="eastAsia"/>
          <w:color w:val="auto"/>
        </w:rPr>
        <w:t>（三）</w:t>
      </w:r>
      <w:r>
        <w:rPr>
          <w:color w:val="auto"/>
        </w:rPr>
        <w:t>本合同一式</w:t>
      </w:r>
      <w:r>
        <w:rPr>
          <w:color w:val="auto"/>
          <w:u w:val="single"/>
        </w:rPr>
        <w:t xml:space="preserve">  </w:t>
      </w:r>
      <w:r>
        <w:rPr>
          <w:rFonts w:hint="eastAsia"/>
          <w:color w:val="auto"/>
          <w:u w:val="single"/>
        </w:rPr>
        <w:t>陆</w:t>
      </w:r>
      <w:r>
        <w:rPr>
          <w:color w:val="auto"/>
          <w:u w:val="single"/>
        </w:rPr>
        <w:t xml:space="preserve">  </w:t>
      </w:r>
      <w:r>
        <w:rPr>
          <w:color w:val="auto"/>
        </w:rPr>
        <w:t>份，甲乙双方各执</w:t>
      </w:r>
      <w:r>
        <w:rPr>
          <w:color w:val="auto"/>
          <w:u w:val="single"/>
        </w:rPr>
        <w:t xml:space="preserve">  </w:t>
      </w:r>
      <w:r>
        <w:rPr>
          <w:rFonts w:hint="eastAsia"/>
          <w:color w:val="auto"/>
          <w:u w:val="single"/>
        </w:rPr>
        <w:t>叁</w:t>
      </w:r>
      <w:r>
        <w:rPr>
          <w:color w:val="auto"/>
          <w:u w:val="single"/>
        </w:rPr>
        <w:t xml:space="preserve">  </w:t>
      </w:r>
      <w:r>
        <w:rPr>
          <w:color w:val="auto"/>
        </w:rPr>
        <w:t>份。</w:t>
      </w:r>
    </w:p>
    <w:p w14:paraId="061A76D6">
      <w:pPr>
        <w:ind w:firstLine="640"/>
        <w:rPr>
          <w:color w:val="auto"/>
        </w:rPr>
      </w:pPr>
      <w:r>
        <w:rPr>
          <w:rFonts w:hint="eastAsia"/>
          <w:color w:val="auto"/>
        </w:rPr>
        <w:t>（四）</w:t>
      </w:r>
      <w:r>
        <w:rPr>
          <w:color w:val="auto"/>
        </w:rPr>
        <w:t>本合同如有未尽事宜，甲、乙双方协商解决。</w:t>
      </w:r>
    </w:p>
    <w:p w14:paraId="3C9D2D14">
      <w:pPr>
        <w:ind w:firstLine="640"/>
        <w:rPr>
          <w:rFonts w:hint="eastAsia"/>
          <w:color w:val="auto"/>
        </w:rPr>
      </w:pPr>
    </w:p>
    <w:p w14:paraId="1B1C8D11">
      <w:pPr>
        <w:ind w:firstLine="640"/>
        <w:rPr>
          <w:color w:val="auto"/>
        </w:rPr>
      </w:pPr>
    </w:p>
    <w:p w14:paraId="42B5DA0A">
      <w:pPr>
        <w:ind w:firstLine="640"/>
        <w:rPr>
          <w:color w:val="auto"/>
        </w:rPr>
      </w:pPr>
    </w:p>
    <w:p w14:paraId="59878FA7">
      <w:pPr>
        <w:ind w:firstLine="640"/>
        <w:rPr>
          <w:color w:val="auto"/>
        </w:rPr>
      </w:pPr>
    </w:p>
    <w:tbl>
      <w:tblPr>
        <w:tblStyle w:val="6"/>
        <w:tblW w:w="8711" w:type="dxa"/>
        <w:tblInd w:w="2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364"/>
        <w:gridCol w:w="4347"/>
      </w:tblGrid>
      <w:tr w14:paraId="06D73A9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6" w:hRule="atLeast"/>
        </w:trPr>
        <w:tc>
          <w:tcPr>
            <w:tcW w:w="4364" w:type="dxa"/>
            <w:shd w:val="clear" w:color="auto" w:fill="D8D8D8"/>
            <w:vAlign w:val="center"/>
          </w:tcPr>
          <w:p w14:paraId="539134F8">
            <w:pPr>
              <w:spacing w:before="128"/>
              <w:jc w:val="center"/>
              <w:rPr>
                <w:rFonts w:hint="eastAsia" w:ascii="仿宋" w:hAnsi="仿宋" w:eastAsia="仿宋" w:cs="仿宋"/>
                <w:color w:val="auto"/>
                <w:kern w:val="0"/>
                <w:sz w:val="24"/>
                <w:szCs w:val="24"/>
              </w:rPr>
            </w:pPr>
            <w:r>
              <w:rPr>
                <w:rFonts w:hint="eastAsia" w:ascii="仿宋" w:hAnsi="仿宋" w:eastAsia="仿宋" w:cs="宋体"/>
                <w:color w:val="auto"/>
                <w:spacing w:val="-3"/>
                <w:kern w:val="0"/>
                <w:sz w:val="24"/>
                <w:szCs w:val="24"/>
                <w14:textOutline w14:w="4356" w14:cap="sq" w14:cmpd="sng" w14:algn="ctr">
                  <w14:solidFill>
                    <w14:srgbClr w14:val="000000"/>
                  </w14:solidFill>
                  <w14:prstDash w14:val="solid"/>
                  <w14:bevel/>
                </w14:textOutline>
              </w:rPr>
              <w:t>甲</w:t>
            </w:r>
            <w:r>
              <w:rPr>
                <w:rFonts w:ascii="仿宋" w:hAnsi="仿宋" w:eastAsia="仿宋" w:cs="仿宋"/>
                <w:color w:val="auto"/>
                <w:spacing w:val="-3"/>
                <w:kern w:val="0"/>
                <w:sz w:val="24"/>
                <w:szCs w:val="24"/>
              </w:rPr>
              <w:t xml:space="preserve"> </w:t>
            </w:r>
            <w:r>
              <w:rPr>
                <w:rFonts w:hint="eastAsia" w:ascii="仿宋" w:hAnsi="仿宋" w:eastAsia="仿宋" w:cs="宋体"/>
                <w:color w:val="auto"/>
                <w:spacing w:val="-3"/>
                <w:kern w:val="0"/>
                <w:sz w:val="24"/>
                <w:szCs w:val="24"/>
                <w14:textOutline w14:w="4356" w14:cap="sq" w14:cmpd="sng" w14:algn="ctr">
                  <w14:solidFill>
                    <w14:srgbClr w14:val="000000"/>
                  </w14:solidFill>
                  <w14:prstDash w14:val="solid"/>
                  <w14:bevel/>
                </w14:textOutline>
              </w:rPr>
              <w:t>方</w:t>
            </w:r>
          </w:p>
        </w:tc>
        <w:tc>
          <w:tcPr>
            <w:tcW w:w="4347" w:type="dxa"/>
            <w:shd w:val="clear" w:color="auto" w:fill="D8D8D8"/>
            <w:vAlign w:val="center"/>
          </w:tcPr>
          <w:p w14:paraId="04A9F2E0">
            <w:pPr>
              <w:spacing w:before="128"/>
              <w:jc w:val="center"/>
              <w:rPr>
                <w:rFonts w:hint="eastAsia" w:ascii="仿宋" w:hAnsi="仿宋" w:eastAsia="仿宋" w:cs="仿宋"/>
                <w:color w:val="auto"/>
                <w:kern w:val="0"/>
                <w:sz w:val="24"/>
                <w:szCs w:val="24"/>
              </w:rPr>
            </w:pPr>
            <w:r>
              <w:rPr>
                <w:rFonts w:hint="eastAsia" w:ascii="仿宋" w:hAnsi="仿宋" w:eastAsia="仿宋" w:cs="宋体"/>
                <w:color w:val="auto"/>
                <w:spacing w:val="2"/>
                <w:kern w:val="0"/>
                <w:sz w:val="24"/>
                <w:szCs w:val="24"/>
                <w14:textOutline w14:w="4356" w14:cap="sq" w14:cmpd="sng" w14:algn="ctr">
                  <w14:solidFill>
                    <w14:srgbClr w14:val="000000"/>
                  </w14:solidFill>
                  <w14:prstDash w14:val="solid"/>
                  <w14:bevel/>
                </w14:textOutline>
              </w:rPr>
              <w:t>乙</w:t>
            </w:r>
            <w:r>
              <w:rPr>
                <w:rFonts w:ascii="仿宋" w:hAnsi="仿宋" w:eastAsia="仿宋" w:cs="仿宋"/>
                <w:color w:val="auto"/>
                <w:spacing w:val="2"/>
                <w:kern w:val="0"/>
                <w:sz w:val="24"/>
                <w:szCs w:val="24"/>
              </w:rPr>
              <w:t xml:space="preserve">  </w:t>
            </w:r>
            <w:r>
              <w:rPr>
                <w:rFonts w:hint="eastAsia" w:ascii="仿宋" w:hAnsi="仿宋" w:eastAsia="仿宋" w:cs="宋体"/>
                <w:color w:val="auto"/>
                <w:spacing w:val="2"/>
                <w:kern w:val="0"/>
                <w:sz w:val="24"/>
                <w:szCs w:val="24"/>
                <w14:textOutline w14:w="4356" w14:cap="sq" w14:cmpd="sng" w14:algn="ctr">
                  <w14:solidFill>
                    <w14:srgbClr w14:val="000000"/>
                  </w14:solidFill>
                  <w14:prstDash w14:val="solid"/>
                  <w14:bevel/>
                </w14:textOutline>
              </w:rPr>
              <w:t>方</w:t>
            </w:r>
          </w:p>
        </w:tc>
      </w:tr>
      <w:tr w14:paraId="7076A5B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6" w:hRule="atLeast"/>
        </w:trPr>
        <w:tc>
          <w:tcPr>
            <w:tcW w:w="4364" w:type="dxa"/>
            <w:vAlign w:val="center"/>
          </w:tcPr>
          <w:p w14:paraId="09F07E91">
            <w:pPr>
              <w:spacing w:before="80"/>
              <w:ind w:firstLine="508"/>
              <w:rPr>
                <w:rFonts w:hint="eastAsia" w:ascii="仿宋" w:hAnsi="仿宋" w:eastAsia="仿宋" w:cs="仿宋"/>
                <w:color w:val="auto"/>
                <w:kern w:val="0"/>
                <w:sz w:val="24"/>
                <w:szCs w:val="24"/>
              </w:rPr>
            </w:pPr>
            <w:r>
              <w:rPr>
                <w:rFonts w:hint="eastAsia" w:ascii="仿宋" w:hAnsi="仿宋" w:eastAsia="仿宋" w:cs="宋体"/>
                <w:color w:val="auto"/>
                <w:spacing w:val="7"/>
                <w:kern w:val="0"/>
                <w:sz w:val="24"/>
                <w:szCs w:val="24"/>
              </w:rPr>
              <w:t>采</w:t>
            </w:r>
            <w:r>
              <w:rPr>
                <w:rFonts w:hint="eastAsia" w:ascii="仿宋" w:hAnsi="仿宋" w:eastAsia="仿宋" w:cs="宋体"/>
                <w:color w:val="auto"/>
                <w:spacing w:val="5"/>
                <w:kern w:val="0"/>
                <w:sz w:val="24"/>
                <w:szCs w:val="24"/>
              </w:rPr>
              <w:t>购人</w:t>
            </w:r>
            <w:r>
              <w:rPr>
                <w:rFonts w:ascii="仿宋" w:hAnsi="仿宋" w:eastAsia="仿宋" w:cs="仿宋"/>
                <w:color w:val="auto"/>
                <w:spacing w:val="5"/>
                <w:kern w:val="0"/>
                <w:sz w:val="24"/>
                <w:szCs w:val="24"/>
              </w:rPr>
              <w:t>(</w:t>
            </w:r>
            <w:r>
              <w:rPr>
                <w:rFonts w:hint="eastAsia" w:ascii="仿宋" w:hAnsi="仿宋" w:eastAsia="仿宋" w:cs="宋体"/>
                <w:color w:val="auto"/>
                <w:spacing w:val="5"/>
                <w:kern w:val="0"/>
                <w:sz w:val="24"/>
                <w:szCs w:val="24"/>
              </w:rPr>
              <w:t>公</w:t>
            </w:r>
            <w:r>
              <w:rPr>
                <w:rFonts w:hint="eastAsia" w:ascii="仿宋" w:hAnsi="仿宋" w:eastAsia="仿宋" w:cs="宋体"/>
                <w:color w:val="auto"/>
                <w:spacing w:val="6"/>
                <w:kern w:val="0"/>
                <w:sz w:val="24"/>
                <w:szCs w:val="24"/>
              </w:rPr>
              <w:t>章</w:t>
            </w:r>
            <w:r>
              <w:rPr>
                <w:rFonts w:ascii="仿宋" w:hAnsi="仿宋" w:eastAsia="仿宋" w:cs="宋体"/>
                <w:color w:val="auto"/>
                <w:spacing w:val="6"/>
                <w:kern w:val="0"/>
                <w:sz w:val="24"/>
                <w:szCs w:val="24"/>
              </w:rPr>
              <w:t>)</w:t>
            </w:r>
            <w:r>
              <w:rPr>
                <w:rFonts w:hint="eastAsia" w:ascii="仿宋" w:hAnsi="仿宋" w:eastAsia="仿宋" w:cs="宋体"/>
                <w:color w:val="auto"/>
                <w:spacing w:val="6"/>
                <w:kern w:val="0"/>
                <w:sz w:val="24"/>
                <w:szCs w:val="24"/>
              </w:rPr>
              <w:t>：</w:t>
            </w:r>
            <w:r>
              <w:rPr>
                <w:rFonts w:hint="eastAsia" w:ascii="仿宋" w:hAnsi="仿宋" w:eastAsia="仿宋" w:cs="仿宋"/>
                <w:color w:val="auto"/>
                <w:kern w:val="0"/>
                <w:sz w:val="24"/>
                <w:szCs w:val="24"/>
              </w:rPr>
              <w:t xml:space="preserve"> </w:t>
            </w:r>
          </w:p>
        </w:tc>
        <w:tc>
          <w:tcPr>
            <w:tcW w:w="4347" w:type="dxa"/>
            <w:vAlign w:val="center"/>
          </w:tcPr>
          <w:p w14:paraId="6A3438DF">
            <w:pPr>
              <w:spacing w:before="80"/>
              <w:ind w:firstLine="504"/>
              <w:rPr>
                <w:rFonts w:hint="eastAsia" w:ascii="仿宋" w:hAnsi="仿宋" w:eastAsia="仿宋" w:cs="仿宋"/>
                <w:color w:val="auto"/>
                <w:kern w:val="0"/>
                <w:sz w:val="24"/>
                <w:szCs w:val="24"/>
              </w:rPr>
            </w:pPr>
            <w:r>
              <w:rPr>
                <w:rFonts w:hint="eastAsia" w:ascii="仿宋" w:hAnsi="仿宋" w:eastAsia="仿宋" w:cs="宋体"/>
                <w:color w:val="auto"/>
                <w:spacing w:val="6"/>
                <w:kern w:val="0"/>
                <w:sz w:val="24"/>
                <w:szCs w:val="24"/>
              </w:rPr>
              <w:t>成交供应商</w:t>
            </w:r>
            <w:r>
              <w:rPr>
                <w:rFonts w:ascii="仿宋" w:hAnsi="仿宋" w:eastAsia="仿宋" w:cs="宋体"/>
                <w:color w:val="auto"/>
                <w:spacing w:val="6"/>
                <w:kern w:val="0"/>
                <w:sz w:val="24"/>
                <w:szCs w:val="24"/>
              </w:rPr>
              <w:t>(</w:t>
            </w:r>
            <w:r>
              <w:rPr>
                <w:rFonts w:hint="eastAsia" w:ascii="仿宋" w:hAnsi="仿宋" w:eastAsia="仿宋" w:cs="宋体"/>
                <w:color w:val="auto"/>
                <w:spacing w:val="6"/>
                <w:kern w:val="0"/>
                <w:sz w:val="24"/>
                <w:szCs w:val="24"/>
              </w:rPr>
              <w:t>公章</w:t>
            </w:r>
            <w:r>
              <w:rPr>
                <w:rFonts w:ascii="仿宋" w:hAnsi="仿宋" w:eastAsia="仿宋" w:cs="宋体"/>
                <w:color w:val="auto"/>
                <w:spacing w:val="6"/>
                <w:kern w:val="0"/>
                <w:sz w:val="24"/>
                <w:szCs w:val="24"/>
              </w:rPr>
              <w:t>)：</w:t>
            </w:r>
            <w:r>
              <w:rPr>
                <w:rFonts w:hint="eastAsia" w:ascii="仿宋" w:hAnsi="仿宋" w:eastAsia="仿宋" w:cs="仿宋"/>
                <w:color w:val="auto"/>
                <w:kern w:val="0"/>
                <w:sz w:val="24"/>
                <w:szCs w:val="24"/>
              </w:rPr>
              <w:t xml:space="preserve"> </w:t>
            </w:r>
          </w:p>
        </w:tc>
      </w:tr>
      <w:tr w14:paraId="37E393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4364" w:type="dxa"/>
            <w:vAlign w:val="center"/>
          </w:tcPr>
          <w:p w14:paraId="12BF599C">
            <w:pPr>
              <w:spacing w:before="80"/>
              <w:ind w:firstLine="484"/>
              <w:rPr>
                <w:rFonts w:hint="eastAsia" w:ascii="仿宋" w:hAnsi="仿宋" w:eastAsia="仿宋" w:cs="仿宋"/>
                <w:color w:val="auto"/>
                <w:kern w:val="0"/>
                <w:sz w:val="24"/>
                <w:szCs w:val="24"/>
              </w:rPr>
            </w:pPr>
            <w:r>
              <w:rPr>
                <w:rFonts w:hint="eastAsia" w:ascii="仿宋" w:hAnsi="仿宋" w:eastAsia="仿宋" w:cs="宋体"/>
                <w:color w:val="auto"/>
                <w:spacing w:val="1"/>
                <w:kern w:val="0"/>
                <w:sz w:val="24"/>
                <w:szCs w:val="24"/>
              </w:rPr>
              <w:t>地址</w:t>
            </w:r>
            <w:r>
              <w:rPr>
                <w:rFonts w:hint="eastAsia" w:ascii="仿宋" w:hAnsi="仿宋" w:eastAsia="仿宋" w:cs="宋体"/>
                <w:color w:val="auto"/>
                <w:spacing w:val="6"/>
                <w:kern w:val="0"/>
                <w:sz w:val="24"/>
                <w:szCs w:val="24"/>
              </w:rPr>
              <w:t>：</w:t>
            </w:r>
            <w:r>
              <w:rPr>
                <w:rFonts w:hint="eastAsia" w:ascii="仿宋" w:hAnsi="仿宋" w:eastAsia="仿宋" w:cs="仿宋"/>
                <w:color w:val="auto"/>
                <w:kern w:val="0"/>
                <w:sz w:val="24"/>
                <w:szCs w:val="24"/>
              </w:rPr>
              <w:t xml:space="preserve"> </w:t>
            </w:r>
          </w:p>
        </w:tc>
        <w:tc>
          <w:tcPr>
            <w:tcW w:w="4347" w:type="dxa"/>
            <w:vAlign w:val="center"/>
          </w:tcPr>
          <w:p w14:paraId="51DD7523">
            <w:pPr>
              <w:spacing w:before="80"/>
              <w:ind w:firstLine="484"/>
              <w:rPr>
                <w:rFonts w:hint="eastAsia" w:ascii="仿宋" w:hAnsi="仿宋" w:eastAsia="仿宋" w:cs="仿宋"/>
                <w:color w:val="auto"/>
                <w:kern w:val="0"/>
                <w:sz w:val="24"/>
                <w:szCs w:val="24"/>
              </w:rPr>
            </w:pPr>
            <w:r>
              <w:rPr>
                <w:rFonts w:hint="eastAsia" w:ascii="仿宋" w:hAnsi="仿宋" w:eastAsia="仿宋" w:cs="宋体"/>
                <w:color w:val="auto"/>
                <w:spacing w:val="1"/>
                <w:kern w:val="0"/>
                <w:sz w:val="24"/>
                <w:szCs w:val="24"/>
              </w:rPr>
              <w:t>地址：</w:t>
            </w:r>
            <w:r>
              <w:rPr>
                <w:rFonts w:hint="eastAsia" w:ascii="仿宋" w:hAnsi="仿宋" w:eastAsia="仿宋" w:cs="仿宋"/>
                <w:color w:val="auto"/>
                <w:kern w:val="0"/>
                <w:sz w:val="24"/>
                <w:szCs w:val="24"/>
              </w:rPr>
              <w:t xml:space="preserve"> </w:t>
            </w:r>
          </w:p>
        </w:tc>
      </w:tr>
      <w:tr w14:paraId="77AC0B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 w:hRule="atLeast"/>
        </w:trPr>
        <w:tc>
          <w:tcPr>
            <w:tcW w:w="4364" w:type="dxa"/>
            <w:vAlign w:val="center"/>
          </w:tcPr>
          <w:p w14:paraId="30A95838">
            <w:pPr>
              <w:spacing w:before="80"/>
              <w:ind w:firstLine="456"/>
              <w:rPr>
                <w:rFonts w:hint="eastAsia" w:ascii="仿宋" w:hAnsi="仿宋" w:eastAsia="仿宋" w:cs="仿宋"/>
                <w:color w:val="auto"/>
                <w:kern w:val="0"/>
                <w:sz w:val="24"/>
                <w:szCs w:val="24"/>
              </w:rPr>
            </w:pPr>
            <w:r>
              <w:rPr>
                <w:rFonts w:hint="eastAsia" w:ascii="仿宋" w:hAnsi="仿宋" w:eastAsia="仿宋" w:cs="宋体"/>
                <w:color w:val="auto"/>
                <w:spacing w:val="-6"/>
                <w:kern w:val="0"/>
                <w:sz w:val="24"/>
                <w:szCs w:val="24"/>
              </w:rPr>
              <w:t>邮</w:t>
            </w:r>
            <w:r>
              <w:rPr>
                <w:rFonts w:hint="eastAsia" w:ascii="仿宋" w:hAnsi="仿宋" w:eastAsia="仿宋" w:cs="宋体"/>
                <w:color w:val="auto"/>
                <w:spacing w:val="-4"/>
                <w:kern w:val="0"/>
                <w:sz w:val="24"/>
                <w:szCs w:val="24"/>
              </w:rPr>
              <w:t>编：</w:t>
            </w:r>
            <w:r>
              <w:rPr>
                <w:rFonts w:hint="eastAsia" w:ascii="仿宋" w:hAnsi="仿宋" w:eastAsia="仿宋" w:cs="仿宋"/>
                <w:color w:val="auto"/>
                <w:kern w:val="0"/>
                <w:sz w:val="24"/>
                <w:szCs w:val="24"/>
              </w:rPr>
              <w:t xml:space="preserve"> </w:t>
            </w:r>
          </w:p>
        </w:tc>
        <w:tc>
          <w:tcPr>
            <w:tcW w:w="4347" w:type="dxa"/>
            <w:vAlign w:val="center"/>
          </w:tcPr>
          <w:p w14:paraId="6BAA19C8">
            <w:pPr>
              <w:spacing w:before="80"/>
              <w:ind w:firstLine="456"/>
              <w:rPr>
                <w:rFonts w:hint="eastAsia" w:ascii="仿宋" w:hAnsi="仿宋" w:eastAsia="仿宋" w:cs="仿宋"/>
                <w:color w:val="auto"/>
                <w:kern w:val="0"/>
                <w:sz w:val="24"/>
                <w:szCs w:val="24"/>
              </w:rPr>
            </w:pPr>
            <w:r>
              <w:rPr>
                <w:rFonts w:hint="eastAsia" w:ascii="仿宋" w:hAnsi="仿宋" w:eastAsia="仿宋" w:cs="宋体"/>
                <w:color w:val="auto"/>
                <w:spacing w:val="-6"/>
                <w:kern w:val="0"/>
                <w:sz w:val="24"/>
                <w:szCs w:val="24"/>
              </w:rPr>
              <w:t>邮</w:t>
            </w:r>
            <w:r>
              <w:rPr>
                <w:rFonts w:hint="eastAsia" w:ascii="仿宋" w:hAnsi="仿宋" w:eastAsia="仿宋" w:cs="宋体"/>
                <w:color w:val="auto"/>
                <w:spacing w:val="-4"/>
                <w:kern w:val="0"/>
                <w:sz w:val="24"/>
                <w:szCs w:val="24"/>
              </w:rPr>
              <w:t>编：</w:t>
            </w:r>
          </w:p>
        </w:tc>
      </w:tr>
      <w:tr w14:paraId="68182F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8" w:hRule="atLeast"/>
        </w:trPr>
        <w:tc>
          <w:tcPr>
            <w:tcW w:w="4364" w:type="dxa"/>
            <w:vAlign w:val="center"/>
          </w:tcPr>
          <w:p w14:paraId="1E4C064B">
            <w:pPr>
              <w:spacing w:before="82"/>
              <w:ind w:firstLine="504"/>
              <w:rPr>
                <w:rFonts w:hint="eastAsia" w:ascii="仿宋" w:hAnsi="仿宋" w:eastAsia="仿宋" w:cs="宋体"/>
                <w:color w:val="auto"/>
                <w:spacing w:val="4"/>
                <w:kern w:val="0"/>
                <w:sz w:val="24"/>
                <w:szCs w:val="24"/>
              </w:rPr>
            </w:pPr>
            <w:r>
              <w:rPr>
                <w:rFonts w:hint="eastAsia" w:ascii="仿宋" w:hAnsi="仿宋" w:eastAsia="仿宋" w:cs="宋体"/>
                <w:color w:val="auto"/>
                <w:spacing w:val="6"/>
                <w:kern w:val="0"/>
                <w:sz w:val="24"/>
                <w:szCs w:val="24"/>
              </w:rPr>
              <w:t>法定或委托代表人（签字或盖章）</w:t>
            </w:r>
            <w:r>
              <w:rPr>
                <w:rFonts w:hint="eastAsia" w:ascii="仿宋" w:hAnsi="仿宋" w:eastAsia="仿宋" w:cs="宋体"/>
                <w:color w:val="auto"/>
                <w:spacing w:val="4"/>
                <w:kern w:val="0"/>
                <w:sz w:val="24"/>
                <w:szCs w:val="24"/>
              </w:rPr>
              <w:t>：</w:t>
            </w:r>
          </w:p>
          <w:p w14:paraId="659A259D">
            <w:pPr>
              <w:spacing w:before="82"/>
              <w:ind w:left="130" w:firstLine="480"/>
              <w:rPr>
                <w:rFonts w:hint="eastAsia" w:ascii="仿宋" w:hAnsi="仿宋" w:eastAsia="仿宋" w:cs="仿宋"/>
                <w:color w:val="auto"/>
                <w:kern w:val="0"/>
                <w:sz w:val="24"/>
                <w:szCs w:val="24"/>
              </w:rPr>
            </w:pPr>
          </w:p>
        </w:tc>
        <w:tc>
          <w:tcPr>
            <w:tcW w:w="4347" w:type="dxa"/>
            <w:vAlign w:val="center"/>
          </w:tcPr>
          <w:p w14:paraId="65A1E4FB">
            <w:pPr>
              <w:spacing w:before="82"/>
              <w:ind w:firstLine="504"/>
              <w:rPr>
                <w:rFonts w:hint="eastAsia" w:ascii="仿宋" w:hAnsi="仿宋" w:eastAsia="仿宋" w:cs="宋体"/>
                <w:color w:val="auto"/>
                <w:spacing w:val="4"/>
                <w:kern w:val="0"/>
                <w:sz w:val="24"/>
                <w:szCs w:val="24"/>
              </w:rPr>
            </w:pPr>
            <w:r>
              <w:rPr>
                <w:rFonts w:hint="eastAsia" w:ascii="仿宋" w:hAnsi="仿宋" w:eastAsia="仿宋" w:cs="宋体"/>
                <w:color w:val="auto"/>
                <w:spacing w:val="6"/>
                <w:kern w:val="0"/>
                <w:sz w:val="24"/>
                <w:szCs w:val="24"/>
              </w:rPr>
              <w:t>法定或委托代表人（签字或盖章）</w:t>
            </w:r>
            <w:r>
              <w:rPr>
                <w:rFonts w:hint="eastAsia" w:ascii="仿宋" w:hAnsi="仿宋" w:eastAsia="仿宋" w:cs="宋体"/>
                <w:color w:val="auto"/>
                <w:spacing w:val="4"/>
                <w:kern w:val="0"/>
                <w:sz w:val="24"/>
                <w:szCs w:val="24"/>
              </w:rPr>
              <w:t>：</w:t>
            </w:r>
          </w:p>
          <w:p w14:paraId="0EDA4F12">
            <w:pPr>
              <w:spacing w:before="82"/>
              <w:ind w:left="129" w:firstLine="480"/>
              <w:rPr>
                <w:rFonts w:hint="eastAsia" w:ascii="仿宋" w:hAnsi="仿宋" w:eastAsia="仿宋" w:cs="仿宋"/>
                <w:color w:val="auto"/>
                <w:kern w:val="0"/>
                <w:sz w:val="24"/>
                <w:szCs w:val="24"/>
              </w:rPr>
            </w:pPr>
          </w:p>
        </w:tc>
      </w:tr>
      <w:tr w14:paraId="6E6866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1" w:hRule="atLeast"/>
        </w:trPr>
        <w:tc>
          <w:tcPr>
            <w:tcW w:w="4364" w:type="dxa"/>
            <w:vAlign w:val="center"/>
          </w:tcPr>
          <w:p w14:paraId="02F138AF">
            <w:pPr>
              <w:spacing w:before="81"/>
              <w:ind w:firstLine="444"/>
              <w:rPr>
                <w:rFonts w:hint="eastAsia" w:ascii="仿宋" w:hAnsi="仿宋" w:eastAsia="仿宋" w:cs="仿宋"/>
                <w:color w:val="auto"/>
                <w:kern w:val="0"/>
                <w:sz w:val="24"/>
                <w:szCs w:val="24"/>
              </w:rPr>
            </w:pPr>
            <w:r>
              <w:rPr>
                <w:rFonts w:hint="eastAsia" w:ascii="仿宋" w:hAnsi="仿宋" w:eastAsia="仿宋" w:cs="宋体"/>
                <w:color w:val="auto"/>
                <w:spacing w:val="-9"/>
                <w:kern w:val="0"/>
                <w:sz w:val="24"/>
                <w:szCs w:val="24"/>
              </w:rPr>
              <w:t>电</w:t>
            </w:r>
            <w:r>
              <w:rPr>
                <w:rFonts w:hint="eastAsia" w:ascii="仿宋" w:hAnsi="仿宋" w:eastAsia="仿宋" w:cs="宋体"/>
                <w:color w:val="auto"/>
                <w:spacing w:val="-7"/>
                <w:kern w:val="0"/>
                <w:sz w:val="24"/>
                <w:szCs w:val="24"/>
              </w:rPr>
              <w:t>话：</w:t>
            </w:r>
          </w:p>
        </w:tc>
        <w:tc>
          <w:tcPr>
            <w:tcW w:w="4347" w:type="dxa"/>
            <w:vAlign w:val="center"/>
          </w:tcPr>
          <w:p w14:paraId="7B184DAA">
            <w:pPr>
              <w:spacing w:before="81"/>
              <w:ind w:firstLine="504"/>
              <w:rPr>
                <w:rFonts w:hint="eastAsia" w:ascii="仿宋" w:hAnsi="仿宋" w:eastAsia="仿宋" w:cs="宋体"/>
                <w:color w:val="auto"/>
                <w:spacing w:val="6"/>
                <w:kern w:val="0"/>
                <w:sz w:val="24"/>
                <w:szCs w:val="24"/>
              </w:rPr>
            </w:pPr>
            <w:r>
              <w:rPr>
                <w:rFonts w:hint="eastAsia" w:ascii="仿宋" w:hAnsi="仿宋" w:eastAsia="仿宋" w:cs="宋体"/>
                <w:color w:val="auto"/>
                <w:spacing w:val="6"/>
                <w:kern w:val="0"/>
                <w:sz w:val="24"/>
                <w:szCs w:val="24"/>
              </w:rPr>
              <w:t>电话：</w:t>
            </w:r>
          </w:p>
        </w:tc>
      </w:tr>
      <w:tr w14:paraId="7BC185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9" w:hRule="atLeast"/>
        </w:trPr>
        <w:tc>
          <w:tcPr>
            <w:tcW w:w="4364" w:type="dxa"/>
            <w:vAlign w:val="center"/>
          </w:tcPr>
          <w:p w14:paraId="36320583">
            <w:pPr>
              <w:spacing w:before="81"/>
              <w:ind w:firstLine="484"/>
              <w:rPr>
                <w:rFonts w:hint="eastAsia" w:ascii="仿宋" w:hAnsi="仿宋" w:eastAsia="仿宋" w:cs="仿宋"/>
                <w:color w:val="auto"/>
                <w:kern w:val="0"/>
                <w:sz w:val="24"/>
                <w:szCs w:val="24"/>
              </w:rPr>
            </w:pPr>
            <w:r>
              <w:rPr>
                <w:rFonts w:hint="eastAsia" w:ascii="仿宋" w:hAnsi="仿宋" w:eastAsia="仿宋" w:cs="宋体"/>
                <w:color w:val="auto"/>
                <w:spacing w:val="1"/>
                <w:kern w:val="0"/>
                <w:sz w:val="24"/>
                <w:szCs w:val="24"/>
              </w:rPr>
              <w:t>传</w:t>
            </w:r>
            <w:r>
              <w:rPr>
                <w:rFonts w:hint="eastAsia" w:ascii="仿宋" w:hAnsi="仿宋" w:eastAsia="仿宋" w:cs="宋体"/>
                <w:color w:val="auto"/>
                <w:kern w:val="0"/>
                <w:sz w:val="24"/>
                <w:szCs w:val="24"/>
              </w:rPr>
              <w:t>真：</w:t>
            </w:r>
          </w:p>
        </w:tc>
        <w:tc>
          <w:tcPr>
            <w:tcW w:w="4347" w:type="dxa"/>
            <w:vAlign w:val="center"/>
          </w:tcPr>
          <w:p w14:paraId="380A3C8B">
            <w:pPr>
              <w:spacing w:before="81"/>
              <w:ind w:firstLine="504"/>
              <w:rPr>
                <w:rFonts w:hint="eastAsia" w:ascii="仿宋" w:hAnsi="仿宋" w:eastAsia="仿宋" w:cs="宋体"/>
                <w:color w:val="auto"/>
                <w:spacing w:val="6"/>
                <w:kern w:val="0"/>
                <w:sz w:val="24"/>
                <w:szCs w:val="24"/>
              </w:rPr>
            </w:pPr>
            <w:r>
              <w:rPr>
                <w:rFonts w:hint="eastAsia" w:ascii="仿宋" w:hAnsi="仿宋" w:eastAsia="仿宋" w:cs="宋体"/>
                <w:color w:val="auto"/>
                <w:spacing w:val="6"/>
                <w:kern w:val="0"/>
                <w:sz w:val="24"/>
                <w:szCs w:val="24"/>
              </w:rPr>
              <w:t>传真：</w:t>
            </w:r>
          </w:p>
        </w:tc>
      </w:tr>
      <w:tr w14:paraId="1D0D7C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7" w:hRule="atLeast"/>
        </w:trPr>
        <w:tc>
          <w:tcPr>
            <w:tcW w:w="4364" w:type="dxa"/>
            <w:vAlign w:val="center"/>
          </w:tcPr>
          <w:p w14:paraId="4A1A146C">
            <w:pPr>
              <w:ind w:firstLine="480"/>
              <w:rPr>
                <w:rFonts w:hint="eastAsia" w:ascii="仿宋" w:hAnsi="仿宋" w:eastAsia="仿宋" w:cs="Arial"/>
                <w:color w:val="auto"/>
                <w:kern w:val="0"/>
                <w:sz w:val="24"/>
                <w:szCs w:val="24"/>
              </w:rPr>
            </w:pPr>
          </w:p>
        </w:tc>
        <w:tc>
          <w:tcPr>
            <w:tcW w:w="4347" w:type="dxa"/>
            <w:vAlign w:val="center"/>
          </w:tcPr>
          <w:p w14:paraId="658E3ED6">
            <w:pPr>
              <w:spacing w:before="84"/>
              <w:ind w:firstLine="504"/>
              <w:rPr>
                <w:rFonts w:hint="eastAsia" w:ascii="仿宋" w:hAnsi="仿宋" w:eastAsia="仿宋" w:cs="宋体"/>
                <w:color w:val="auto"/>
                <w:spacing w:val="6"/>
                <w:kern w:val="0"/>
                <w:sz w:val="24"/>
                <w:szCs w:val="24"/>
              </w:rPr>
            </w:pPr>
            <w:r>
              <w:rPr>
                <w:rFonts w:hint="eastAsia" w:ascii="仿宋" w:hAnsi="仿宋" w:eastAsia="仿宋" w:cs="宋体"/>
                <w:color w:val="auto"/>
                <w:spacing w:val="6"/>
                <w:kern w:val="0"/>
                <w:sz w:val="24"/>
                <w:szCs w:val="24"/>
              </w:rPr>
              <w:t xml:space="preserve">开户银行： </w:t>
            </w:r>
          </w:p>
        </w:tc>
      </w:tr>
      <w:tr w14:paraId="530408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5" w:hRule="atLeast"/>
        </w:trPr>
        <w:tc>
          <w:tcPr>
            <w:tcW w:w="4364" w:type="dxa"/>
            <w:vAlign w:val="center"/>
          </w:tcPr>
          <w:p w14:paraId="29608091">
            <w:pPr>
              <w:ind w:firstLine="480"/>
              <w:rPr>
                <w:rFonts w:hint="eastAsia" w:ascii="仿宋" w:hAnsi="仿宋" w:eastAsia="仿宋" w:cs="Arial"/>
                <w:color w:val="auto"/>
                <w:kern w:val="0"/>
                <w:sz w:val="24"/>
                <w:szCs w:val="24"/>
              </w:rPr>
            </w:pPr>
          </w:p>
        </w:tc>
        <w:tc>
          <w:tcPr>
            <w:tcW w:w="4347" w:type="dxa"/>
            <w:vAlign w:val="center"/>
          </w:tcPr>
          <w:p w14:paraId="76310E71">
            <w:pPr>
              <w:spacing w:before="83"/>
              <w:ind w:firstLine="504"/>
              <w:rPr>
                <w:rFonts w:hint="eastAsia" w:ascii="仿宋" w:hAnsi="仿宋" w:eastAsia="仿宋" w:cs="宋体"/>
                <w:color w:val="auto"/>
                <w:spacing w:val="6"/>
                <w:kern w:val="0"/>
                <w:sz w:val="24"/>
                <w:szCs w:val="24"/>
              </w:rPr>
            </w:pPr>
            <w:r>
              <w:rPr>
                <w:rFonts w:hint="eastAsia" w:ascii="仿宋" w:hAnsi="仿宋" w:eastAsia="仿宋" w:cs="宋体"/>
                <w:color w:val="auto"/>
                <w:spacing w:val="6"/>
                <w:kern w:val="0"/>
                <w:sz w:val="24"/>
                <w:szCs w:val="24"/>
              </w:rPr>
              <w:t>账号：</w:t>
            </w:r>
          </w:p>
        </w:tc>
      </w:tr>
      <w:tr w14:paraId="65896F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6" w:hRule="atLeast"/>
        </w:trPr>
        <w:tc>
          <w:tcPr>
            <w:tcW w:w="4364" w:type="dxa"/>
            <w:vAlign w:val="center"/>
          </w:tcPr>
          <w:p w14:paraId="5CB79B72">
            <w:pPr>
              <w:spacing w:before="83"/>
              <w:ind w:left="173" w:firstLine="476"/>
              <w:rPr>
                <w:rFonts w:hint="eastAsia" w:ascii="仿宋" w:hAnsi="仿宋" w:eastAsia="仿宋" w:cs="仿宋"/>
                <w:color w:val="auto"/>
                <w:kern w:val="0"/>
                <w:sz w:val="24"/>
                <w:szCs w:val="24"/>
              </w:rPr>
            </w:pPr>
            <w:r>
              <w:rPr>
                <w:rFonts w:hint="eastAsia" w:ascii="仿宋" w:hAnsi="仿宋" w:eastAsia="仿宋" w:cs="宋体"/>
                <w:color w:val="auto"/>
                <w:spacing w:val="-1"/>
                <w:kern w:val="0"/>
                <w:sz w:val="24"/>
                <w:szCs w:val="24"/>
              </w:rPr>
              <w:t>日期：</w:t>
            </w:r>
            <w:r>
              <w:rPr>
                <w:rFonts w:ascii="仿宋" w:hAnsi="仿宋" w:eastAsia="仿宋" w:cs="仿宋"/>
                <w:color w:val="auto"/>
                <w:spacing w:val="-1"/>
                <w:kern w:val="0"/>
                <w:sz w:val="24"/>
                <w:szCs w:val="24"/>
              </w:rPr>
              <w:t xml:space="preserve">  </w:t>
            </w:r>
            <w:r>
              <w:rPr>
                <w:rFonts w:hint="eastAsia" w:ascii="仿宋" w:hAnsi="仿宋" w:eastAsia="仿宋" w:cs="仿宋"/>
                <w:color w:val="auto"/>
                <w:spacing w:val="-1"/>
                <w:kern w:val="0"/>
                <w:sz w:val="24"/>
                <w:szCs w:val="24"/>
              </w:rPr>
              <w:t xml:space="preserve"> </w:t>
            </w:r>
            <w:r>
              <w:rPr>
                <w:rFonts w:ascii="仿宋" w:hAnsi="仿宋" w:eastAsia="仿宋" w:cs="仿宋"/>
                <w:color w:val="auto"/>
                <w:kern w:val="0"/>
                <w:sz w:val="24"/>
                <w:szCs w:val="24"/>
              </w:rPr>
              <w:t xml:space="preserve"> </w:t>
            </w:r>
            <w:r>
              <w:rPr>
                <w:rFonts w:hint="eastAsia" w:ascii="仿宋" w:hAnsi="仿宋" w:eastAsia="仿宋" w:cs="宋体"/>
                <w:color w:val="auto"/>
                <w:kern w:val="0"/>
                <w:sz w:val="24"/>
                <w:szCs w:val="24"/>
              </w:rPr>
              <w:t xml:space="preserve">年  </w:t>
            </w:r>
            <w:r>
              <w:rPr>
                <w:rFonts w:ascii="仿宋" w:hAnsi="仿宋" w:eastAsia="仿宋" w:cs="仿宋"/>
                <w:color w:val="auto"/>
                <w:kern w:val="0"/>
                <w:sz w:val="24"/>
                <w:szCs w:val="24"/>
              </w:rPr>
              <w:t xml:space="preserve">  </w:t>
            </w:r>
            <w:r>
              <w:rPr>
                <w:rFonts w:hint="eastAsia" w:ascii="仿宋" w:hAnsi="仿宋" w:eastAsia="仿宋" w:cs="仿宋"/>
                <w:color w:val="auto"/>
                <w:kern w:val="0"/>
                <w:sz w:val="24"/>
                <w:szCs w:val="24"/>
              </w:rPr>
              <w:t xml:space="preserve"> </w:t>
            </w:r>
            <w:r>
              <w:rPr>
                <w:rFonts w:hint="eastAsia" w:ascii="仿宋" w:hAnsi="仿宋" w:eastAsia="仿宋" w:cs="宋体"/>
                <w:color w:val="auto"/>
                <w:kern w:val="0"/>
                <w:sz w:val="24"/>
                <w:szCs w:val="24"/>
              </w:rPr>
              <w:t>月</w:t>
            </w:r>
            <w:r>
              <w:rPr>
                <w:rFonts w:ascii="仿宋" w:hAnsi="仿宋" w:eastAsia="仿宋" w:cs="仿宋"/>
                <w:color w:val="auto"/>
                <w:kern w:val="0"/>
                <w:sz w:val="24"/>
                <w:szCs w:val="24"/>
              </w:rPr>
              <w:t xml:space="preserve">  </w:t>
            </w:r>
            <w:r>
              <w:rPr>
                <w:rFonts w:hint="eastAsia" w:ascii="仿宋" w:hAnsi="仿宋" w:eastAsia="仿宋" w:cs="仿宋"/>
                <w:color w:val="auto"/>
                <w:kern w:val="0"/>
                <w:sz w:val="24"/>
                <w:szCs w:val="24"/>
              </w:rPr>
              <w:t xml:space="preserve">  </w:t>
            </w:r>
            <w:r>
              <w:rPr>
                <w:rFonts w:ascii="仿宋" w:hAnsi="仿宋" w:eastAsia="仿宋" w:cs="仿宋"/>
                <w:color w:val="auto"/>
                <w:kern w:val="0"/>
                <w:sz w:val="24"/>
                <w:szCs w:val="24"/>
              </w:rPr>
              <w:t xml:space="preserve"> </w:t>
            </w:r>
            <w:r>
              <w:rPr>
                <w:rFonts w:hint="eastAsia" w:ascii="仿宋" w:hAnsi="仿宋" w:eastAsia="仿宋" w:cs="宋体"/>
                <w:color w:val="auto"/>
                <w:kern w:val="0"/>
                <w:sz w:val="24"/>
                <w:szCs w:val="24"/>
              </w:rPr>
              <w:t>日</w:t>
            </w:r>
          </w:p>
        </w:tc>
        <w:tc>
          <w:tcPr>
            <w:tcW w:w="4347" w:type="dxa"/>
            <w:vAlign w:val="center"/>
          </w:tcPr>
          <w:p w14:paraId="0AD341A1">
            <w:pPr>
              <w:spacing w:before="83"/>
              <w:ind w:left="172" w:firstLine="476"/>
              <w:rPr>
                <w:rFonts w:hint="eastAsia" w:ascii="仿宋" w:hAnsi="仿宋" w:eastAsia="仿宋" w:cs="仿宋"/>
                <w:color w:val="auto"/>
                <w:kern w:val="0"/>
                <w:sz w:val="24"/>
                <w:szCs w:val="24"/>
              </w:rPr>
            </w:pPr>
            <w:r>
              <w:rPr>
                <w:rFonts w:hint="eastAsia" w:ascii="仿宋" w:hAnsi="仿宋" w:eastAsia="仿宋" w:cs="宋体"/>
                <w:color w:val="auto"/>
                <w:spacing w:val="-1"/>
                <w:kern w:val="0"/>
                <w:sz w:val="24"/>
                <w:szCs w:val="24"/>
              </w:rPr>
              <w:t>日期</w:t>
            </w:r>
            <w:r>
              <w:rPr>
                <w:rFonts w:hint="eastAsia" w:ascii="仿宋" w:hAnsi="仿宋" w:eastAsia="仿宋" w:cs="仿宋"/>
                <w:color w:val="auto"/>
                <w:spacing w:val="-1"/>
                <w:kern w:val="0"/>
                <w:sz w:val="24"/>
                <w:szCs w:val="24"/>
              </w:rPr>
              <w:t>：</w:t>
            </w:r>
            <w:r>
              <w:rPr>
                <w:rFonts w:ascii="仿宋" w:hAnsi="仿宋" w:eastAsia="仿宋" w:cs="仿宋"/>
                <w:color w:val="auto"/>
                <w:kern w:val="0"/>
                <w:sz w:val="24"/>
                <w:szCs w:val="24"/>
              </w:rPr>
              <w:t xml:space="preserve">  </w:t>
            </w:r>
            <w:r>
              <w:rPr>
                <w:rFonts w:hint="eastAsia" w:ascii="仿宋" w:hAnsi="仿宋" w:eastAsia="仿宋" w:cs="仿宋"/>
                <w:color w:val="auto"/>
                <w:kern w:val="0"/>
                <w:sz w:val="24"/>
                <w:szCs w:val="24"/>
              </w:rPr>
              <w:t xml:space="preserve">  </w:t>
            </w:r>
            <w:r>
              <w:rPr>
                <w:rFonts w:hint="eastAsia" w:ascii="仿宋" w:hAnsi="仿宋" w:eastAsia="仿宋" w:cs="宋体"/>
                <w:color w:val="auto"/>
                <w:kern w:val="0"/>
                <w:sz w:val="24"/>
                <w:szCs w:val="24"/>
              </w:rPr>
              <w:t>年</w:t>
            </w:r>
            <w:r>
              <w:rPr>
                <w:rFonts w:ascii="仿宋" w:hAnsi="仿宋" w:eastAsia="仿宋" w:cs="仿宋"/>
                <w:color w:val="auto"/>
                <w:kern w:val="0"/>
                <w:sz w:val="24"/>
                <w:szCs w:val="24"/>
              </w:rPr>
              <w:t xml:space="preserve">  </w:t>
            </w:r>
            <w:r>
              <w:rPr>
                <w:rFonts w:hint="eastAsia" w:ascii="仿宋" w:hAnsi="仿宋" w:eastAsia="仿宋" w:cs="仿宋"/>
                <w:color w:val="auto"/>
                <w:kern w:val="0"/>
                <w:sz w:val="24"/>
                <w:szCs w:val="24"/>
              </w:rPr>
              <w:t xml:space="preserve">  </w:t>
            </w:r>
            <w:r>
              <w:rPr>
                <w:rFonts w:ascii="仿宋" w:hAnsi="仿宋" w:eastAsia="仿宋" w:cs="仿宋"/>
                <w:color w:val="auto"/>
                <w:kern w:val="0"/>
                <w:sz w:val="24"/>
                <w:szCs w:val="24"/>
              </w:rPr>
              <w:t xml:space="preserve"> </w:t>
            </w:r>
            <w:r>
              <w:rPr>
                <w:rFonts w:hint="eastAsia" w:ascii="仿宋" w:hAnsi="仿宋" w:eastAsia="仿宋" w:cs="宋体"/>
                <w:color w:val="auto"/>
                <w:kern w:val="0"/>
                <w:sz w:val="24"/>
                <w:szCs w:val="24"/>
              </w:rPr>
              <w:t>月</w:t>
            </w:r>
            <w:r>
              <w:rPr>
                <w:rFonts w:ascii="仿宋" w:hAnsi="仿宋" w:eastAsia="仿宋" w:cs="仿宋"/>
                <w:color w:val="auto"/>
                <w:kern w:val="0"/>
                <w:sz w:val="24"/>
                <w:szCs w:val="24"/>
              </w:rPr>
              <w:t xml:space="preserve">  </w:t>
            </w:r>
            <w:r>
              <w:rPr>
                <w:rFonts w:hint="eastAsia" w:ascii="仿宋" w:hAnsi="仿宋" w:eastAsia="仿宋" w:cs="仿宋"/>
                <w:color w:val="auto"/>
                <w:kern w:val="0"/>
                <w:sz w:val="24"/>
                <w:szCs w:val="24"/>
              </w:rPr>
              <w:t xml:space="preserve">  </w:t>
            </w:r>
            <w:r>
              <w:rPr>
                <w:rFonts w:ascii="仿宋" w:hAnsi="仿宋" w:eastAsia="仿宋" w:cs="仿宋"/>
                <w:color w:val="auto"/>
                <w:kern w:val="0"/>
                <w:sz w:val="24"/>
                <w:szCs w:val="24"/>
              </w:rPr>
              <w:t xml:space="preserve"> </w:t>
            </w:r>
            <w:r>
              <w:rPr>
                <w:rFonts w:hint="eastAsia" w:ascii="仿宋" w:hAnsi="仿宋" w:eastAsia="仿宋" w:cs="宋体"/>
                <w:color w:val="auto"/>
                <w:kern w:val="0"/>
                <w:sz w:val="24"/>
                <w:szCs w:val="24"/>
              </w:rPr>
              <w:t>日</w:t>
            </w:r>
          </w:p>
        </w:tc>
      </w:tr>
    </w:tbl>
    <w:p w14:paraId="2B1EB1A1">
      <w:pPr>
        <w:ind w:firstLine="640"/>
        <w:rPr>
          <w:color w:val="auto"/>
        </w:rPr>
      </w:pPr>
    </w:p>
    <w:p w14:paraId="40CACF7A">
      <w:pPr>
        <w:spacing w:before="208"/>
        <w:ind w:firstLine="0" w:firstLineChars="0"/>
        <w:jc w:val="left"/>
        <w:rPr>
          <w:rFonts w:hint="eastAsia" w:ascii="楷体" w:hAnsi="楷体" w:eastAsia="楷体"/>
          <w:b/>
          <w:color w:val="auto"/>
          <w:szCs w:val="32"/>
        </w:rPr>
      </w:pPr>
    </w:p>
    <w:p w14:paraId="446558D1">
      <w:pPr>
        <w:pStyle w:val="7"/>
        <w:rPr>
          <w:rFonts w:hint="eastAsia"/>
          <w:lang w:val="en-US" w:eastAsia="zh-Hans"/>
        </w:rPr>
      </w:pPr>
    </w:p>
    <w:p w14:paraId="549EAC7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default" w:ascii="Lucida Sans Unicode" w:hAnsi="Lucida Sans Unicode" w:eastAsia="宋体" w:cs="Lucida Sans Unicode"/>
          <w:spacing w:val="0"/>
          <w:w w:val="100"/>
          <w:sz w:val="24"/>
          <w:szCs w:val="24"/>
          <w:highlight w:val="none"/>
          <w:lang w:val="en-US" w:eastAsia="zh-CN"/>
        </w:rPr>
      </w:pPr>
    </w:p>
    <w:p w14:paraId="0371F230">
      <w:bookmarkStart w:id="0" w:name="_GoBack"/>
      <w:bookmarkEnd w:id="0"/>
    </w:p>
    <w:sectPr>
      <w:pgSz w:w="11900" w:h="16840"/>
      <w:pgMar w:top="1440" w:right="1800" w:bottom="1440" w:left="1800" w:header="850" w:footer="964"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Lucida Sans Unicode">
    <w:panose1 w:val="020B0602030504020204"/>
    <w:charset w:val="00"/>
    <w:family w:val="auto"/>
    <w:pitch w:val="default"/>
    <w:sig w:usb0="80001AFF" w:usb1="0000396B" w:usb2="00000000" w:usb3="00000000" w:csb0="200000BF" w:csb1="D7F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315736"/>
    <w:rsid w:val="3C3232B3"/>
    <w:rsid w:val="413157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360" w:lineRule="auto"/>
      <w:jc w:val="both"/>
      <w:textAlignment w:val="baseline"/>
    </w:pPr>
    <w:rPr>
      <w:rFonts w:ascii="Arial" w:hAnsi="Arial" w:eastAsia="宋体" w:cs="Arial"/>
      <w:snapToGrid w:val="0"/>
      <w:color w:val="000000"/>
      <w:kern w:val="0"/>
      <w:sz w:val="24"/>
      <w:szCs w:val="21"/>
      <w:lang w:val="en-US" w:eastAsia="en-US"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table" w:styleId="4">
    <w:name w:val="Table Grid"/>
    <w:basedOn w:val="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6">
    <w:name w:val="Table Normal"/>
    <w:autoRedefine/>
    <w:semiHidden/>
    <w:unhideWhenUsed/>
    <w:qFormat/>
    <w:uiPriority w:val="0"/>
    <w:tblPr>
      <w:tblCellMar>
        <w:top w:w="0" w:type="dxa"/>
        <w:left w:w="0" w:type="dxa"/>
        <w:bottom w:w="0" w:type="dxa"/>
        <w:right w:w="0" w:type="dxa"/>
      </w:tblCellMar>
    </w:tbl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2025-05-08T12:14:00Z</dcterms:created>
  <dc:creator>贾旭鸣</dc:creator>
  <cp:lastModifiedBy>贾旭鸣</cp:lastModifiedBy>
  <dcterms:modified xsi:type="dcterms:W3CDTF">2025-05-08T12:14:54Z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E6251DF83BED46018122127530EEC1BB_11</vt:lpwstr>
  </property>
  <property fmtid="{D5CDD505-2E9C-101B-9397-08002B2CF9AE}" pid="4" name="KSOTemplateDocerSaveRecord">
    <vt:lpwstr>eyJoZGlkIjoiY2YzMTcxODczODNkNjg0NGQ4ODVkZWU3OWJjN2Y2ZjYiLCJ1c2VySWQiOiIyMzI0Njk3NzUifQ==</vt:lpwstr>
  </property>
</Properties>
</file>