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版本号：ZBZB-2025-261520250508001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第九届丝博会陕菜美食文化交流</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ZBZB-2025-2615</w:t>
      </w:r>
      <w:r>
        <w:br/>
      </w:r>
      <w:r>
        <w:br/>
      </w:r>
      <w:r>
        <w:br/>
      </w:r>
    </w:p>
    <w:p>
      <w:pPr>
        <w:pStyle w:val="null3"/>
        <w:jc w:val="center"/>
        <w:outlineLvl w:val="2"/>
      </w:pPr>
      <w:r>
        <w:rPr>
          <w:rFonts w:ascii="仿宋_GB2312" w:hAnsi="仿宋_GB2312" w:cs="仿宋_GB2312" w:eastAsia="仿宋_GB2312"/>
          <w:sz w:val="28"/>
          <w:b/>
        </w:rPr>
        <w:t>陕西省商务厅机关</w:t>
      </w:r>
    </w:p>
    <w:p>
      <w:pPr>
        <w:pStyle w:val="null3"/>
        <w:jc w:val="center"/>
        <w:outlineLvl w:val="2"/>
      </w:pPr>
      <w:r>
        <w:rPr>
          <w:rFonts w:ascii="仿宋_GB2312" w:hAnsi="仿宋_GB2312" w:cs="仿宋_GB2312" w:eastAsia="仿宋_GB2312"/>
          <w:sz w:val="28"/>
          <w:b/>
        </w:rPr>
        <w:t>陕西正邦招标有限责任公司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陕西正邦招标有限责任公司</w:t>
      </w:r>
      <w:r>
        <w:rPr>
          <w:rFonts w:ascii="仿宋_GB2312" w:hAnsi="仿宋_GB2312" w:cs="仿宋_GB2312" w:eastAsia="仿宋_GB2312"/>
        </w:rPr>
        <w:t>（以下简称“代理机构”）受</w:t>
      </w:r>
      <w:r>
        <w:rPr>
          <w:rFonts w:ascii="仿宋_GB2312" w:hAnsi="仿宋_GB2312" w:cs="仿宋_GB2312" w:eastAsia="仿宋_GB2312"/>
        </w:rPr>
        <w:t>陕西省商务厅机关</w:t>
      </w:r>
      <w:r>
        <w:rPr>
          <w:rFonts w:ascii="仿宋_GB2312" w:hAnsi="仿宋_GB2312" w:cs="仿宋_GB2312" w:eastAsia="仿宋_GB2312"/>
        </w:rPr>
        <w:t>委托，拟对</w:t>
      </w:r>
      <w:r>
        <w:rPr>
          <w:rFonts w:ascii="仿宋_GB2312" w:hAnsi="仿宋_GB2312" w:cs="仿宋_GB2312" w:eastAsia="仿宋_GB2312"/>
        </w:rPr>
        <w:t>第九届丝博会陕菜美食文化交流</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ZBZB-2025-2615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第九届丝博会陕菜美食文化交流</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第九届丝博会陕菜美食文化交流等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采购包2（国际美食展览）：属于专门面向小微企业采购。</w:t>
      </w:r>
    </w:p>
    <w:p>
      <w:pPr>
        <w:pStyle w:val="null3"/>
      </w:pPr>
      <w:r>
        <w:rPr>
          <w:rFonts w:ascii="仿宋_GB2312" w:hAnsi="仿宋_GB2312" w:cs="仿宋_GB2312" w:eastAsia="仿宋_GB2312"/>
        </w:rPr>
        <w:t>采购包4（活动全程宣传）：属于专门面向小微企业采购。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授权委托：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p>
      <w:pPr>
        <w:pStyle w:val="null3"/>
      </w:pPr>
      <w:r>
        <w:rPr>
          <w:rFonts w:ascii="仿宋_GB2312" w:hAnsi="仿宋_GB2312" w:cs="仿宋_GB2312" w:eastAsia="仿宋_GB2312"/>
        </w:rPr>
        <w:t>3、财务状况报告：提供2023或2024年度财务审计报告（至少包括常规和三表一注，成立时间至提交磋商响应文件截止时间不足一年的可提供成立后任意时段的资产负债表），或其开标前六个月内基本存款账户开户银行出具的资信证明；</w:t>
      </w:r>
    </w:p>
    <w:p>
      <w:pPr>
        <w:pStyle w:val="null3"/>
      </w:pPr>
      <w:r>
        <w:rPr>
          <w:rFonts w:ascii="仿宋_GB2312" w:hAnsi="仿宋_GB2312" w:cs="仿宋_GB2312" w:eastAsia="仿宋_GB2312"/>
        </w:rPr>
        <w:t>4、社会保障资金缴纳证明：提供2024年11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p>
      <w:pPr>
        <w:pStyle w:val="null3"/>
      </w:pPr>
      <w:r>
        <w:rPr>
          <w:rFonts w:ascii="仿宋_GB2312" w:hAnsi="仿宋_GB2312" w:cs="仿宋_GB2312" w:eastAsia="仿宋_GB2312"/>
        </w:rPr>
        <w:t>5、税收缴纳证明：提供2024年11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p>
      <w:pPr>
        <w:pStyle w:val="null3"/>
      </w:pPr>
      <w:r>
        <w:rPr>
          <w:rFonts w:ascii="仿宋_GB2312" w:hAnsi="仿宋_GB2312" w:cs="仿宋_GB2312" w:eastAsia="仿宋_GB2312"/>
        </w:rPr>
        <w:t>6、书面声明（信用记录）：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7、承诺书：提供具有履行合同所必需的设备和专业技术能力的承诺书。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授权委托：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p>
      <w:pPr>
        <w:pStyle w:val="null3"/>
      </w:pPr>
      <w:r>
        <w:rPr>
          <w:rFonts w:ascii="仿宋_GB2312" w:hAnsi="仿宋_GB2312" w:cs="仿宋_GB2312" w:eastAsia="仿宋_GB2312"/>
        </w:rPr>
        <w:t>3、财务状况报告：提供2023或2024年度财务审计报告（至少包括常规和三表一注，成立时间至提交磋商响应文件截止时间不足一年的可提供成立后任意时段的资产负债表），或其开标前六个月内基本存款账户开户银行出具的资信证明；</w:t>
      </w:r>
    </w:p>
    <w:p>
      <w:pPr>
        <w:pStyle w:val="null3"/>
      </w:pPr>
      <w:r>
        <w:rPr>
          <w:rFonts w:ascii="仿宋_GB2312" w:hAnsi="仿宋_GB2312" w:cs="仿宋_GB2312" w:eastAsia="仿宋_GB2312"/>
        </w:rPr>
        <w:t>4、社会保障资金缴纳证明：提供2024年11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p>
      <w:pPr>
        <w:pStyle w:val="null3"/>
      </w:pPr>
      <w:r>
        <w:rPr>
          <w:rFonts w:ascii="仿宋_GB2312" w:hAnsi="仿宋_GB2312" w:cs="仿宋_GB2312" w:eastAsia="仿宋_GB2312"/>
        </w:rPr>
        <w:t>5、税收缴纳证明：提供2024年11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p>
      <w:pPr>
        <w:pStyle w:val="null3"/>
      </w:pPr>
      <w:r>
        <w:rPr>
          <w:rFonts w:ascii="仿宋_GB2312" w:hAnsi="仿宋_GB2312" w:cs="仿宋_GB2312" w:eastAsia="仿宋_GB2312"/>
        </w:rPr>
        <w:t>6、书面声明（信用记录）：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7、承诺书：提供具有履行合同所必需的设备和专业技术能力的承诺书。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授权委托：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p>
      <w:pPr>
        <w:pStyle w:val="null3"/>
      </w:pPr>
      <w:r>
        <w:rPr>
          <w:rFonts w:ascii="仿宋_GB2312" w:hAnsi="仿宋_GB2312" w:cs="仿宋_GB2312" w:eastAsia="仿宋_GB2312"/>
        </w:rPr>
        <w:t>3、财务状况报告：提供2023或2024年度财务审计报告（至少包括常规和三表一注，成立时间至提交磋商响应文件截止时间不足一年的可提供成立后任意时段的资产负债表），或其开标前六个月内基本存款账户开户银行出具的资信证明；</w:t>
      </w:r>
    </w:p>
    <w:p>
      <w:pPr>
        <w:pStyle w:val="null3"/>
      </w:pPr>
      <w:r>
        <w:rPr>
          <w:rFonts w:ascii="仿宋_GB2312" w:hAnsi="仿宋_GB2312" w:cs="仿宋_GB2312" w:eastAsia="仿宋_GB2312"/>
        </w:rPr>
        <w:t>4、社会保障资金缴纳证明：提供2024年11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p>
      <w:pPr>
        <w:pStyle w:val="null3"/>
      </w:pPr>
      <w:r>
        <w:rPr>
          <w:rFonts w:ascii="仿宋_GB2312" w:hAnsi="仿宋_GB2312" w:cs="仿宋_GB2312" w:eastAsia="仿宋_GB2312"/>
        </w:rPr>
        <w:t>5、税收缴纳证明：提供2024年11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p>
      <w:pPr>
        <w:pStyle w:val="null3"/>
      </w:pPr>
      <w:r>
        <w:rPr>
          <w:rFonts w:ascii="仿宋_GB2312" w:hAnsi="仿宋_GB2312" w:cs="仿宋_GB2312" w:eastAsia="仿宋_GB2312"/>
        </w:rPr>
        <w:t>6、书面声明（信用记录）：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7、承诺书：提供具有履行合同所必需的设备和专业技术能力的承诺书。</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授权委托：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p>
      <w:pPr>
        <w:pStyle w:val="null3"/>
      </w:pPr>
      <w:r>
        <w:rPr>
          <w:rFonts w:ascii="仿宋_GB2312" w:hAnsi="仿宋_GB2312" w:cs="仿宋_GB2312" w:eastAsia="仿宋_GB2312"/>
        </w:rPr>
        <w:t>3、财务状况报告：提供2023或2024年度财务审计报告（至少包括常规和三表一注，成立时间至提交磋商响应文件截止时间不足一年的可提供成立后任意时段的资产负债表），或其开标前六个月内基本存款账户开户银行出具的资信证明；</w:t>
      </w:r>
    </w:p>
    <w:p>
      <w:pPr>
        <w:pStyle w:val="null3"/>
      </w:pPr>
      <w:r>
        <w:rPr>
          <w:rFonts w:ascii="仿宋_GB2312" w:hAnsi="仿宋_GB2312" w:cs="仿宋_GB2312" w:eastAsia="仿宋_GB2312"/>
        </w:rPr>
        <w:t>4、社会保障资金缴纳证明：提供2024年11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p>
      <w:pPr>
        <w:pStyle w:val="null3"/>
      </w:pPr>
      <w:r>
        <w:rPr>
          <w:rFonts w:ascii="仿宋_GB2312" w:hAnsi="仿宋_GB2312" w:cs="仿宋_GB2312" w:eastAsia="仿宋_GB2312"/>
        </w:rPr>
        <w:t>5、税收缴纳证明：提供2024年11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p>
      <w:pPr>
        <w:pStyle w:val="null3"/>
      </w:pPr>
      <w:r>
        <w:rPr>
          <w:rFonts w:ascii="仿宋_GB2312" w:hAnsi="仿宋_GB2312" w:cs="仿宋_GB2312" w:eastAsia="仿宋_GB2312"/>
        </w:rPr>
        <w:t>6、书面声明（信用记录）：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7、承诺书：提供具有履行合同所必需的设备和专业技术能力的承诺书。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陕西省商务厅机关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029-63913972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陕西正邦招标有限责任公司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陕西省西安市雁塔区朱雀大街南段69号长丰园三区5号楼9层9006室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029-85578186转838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采购包1：160,000.00元</w:t>
            </w:r>
          </w:p>
          <w:p>
            <w:pPr>
              <w:pStyle w:val="null3"/>
            </w:pPr>
            <w:r>
              <w:rPr>
                <w:rFonts w:ascii="仿宋_GB2312" w:hAnsi="仿宋_GB2312" w:cs="仿宋_GB2312" w:eastAsia="仿宋_GB2312"/>
              </w:rPr>
              <w:t>采购包2：300,000.00元</w:t>
            </w:r>
          </w:p>
          <w:p>
            <w:pPr>
              <w:pStyle w:val="null3"/>
            </w:pPr>
            <w:r>
              <w:rPr>
                <w:rFonts w:ascii="仿宋_GB2312" w:hAnsi="仿宋_GB2312" w:cs="仿宋_GB2312" w:eastAsia="仿宋_GB2312"/>
              </w:rPr>
              <w:t>采购包3：120,000.00元</w:t>
            </w:r>
          </w:p>
          <w:p>
            <w:pPr>
              <w:pStyle w:val="null3"/>
            </w:pPr>
            <w:r>
              <w:rPr>
                <w:rFonts w:ascii="仿宋_GB2312" w:hAnsi="仿宋_GB2312" w:cs="仿宋_GB2312" w:eastAsia="仿宋_GB2312"/>
              </w:rPr>
              <w:t>采购包4：240,000.00元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采购包1保证金金额：3,200.00元</w:t>
            </w:r>
          </w:p>
          <w:p>
            <w:pPr>
              <w:pStyle w:val="null3"/>
            </w:pPr>
            <w:r>
              <w:rPr>
                <w:rFonts w:ascii="仿宋_GB2312" w:hAnsi="仿宋_GB2312" w:cs="仿宋_GB2312" w:eastAsia="仿宋_GB2312"/>
              </w:rPr>
              <w:t>采购包2保证金金额：6,000.00元</w:t>
            </w:r>
          </w:p>
          <w:p>
            <w:pPr>
              <w:pStyle w:val="null3"/>
            </w:pPr>
            <w:r>
              <w:rPr>
                <w:rFonts w:ascii="仿宋_GB2312" w:hAnsi="仿宋_GB2312" w:cs="仿宋_GB2312" w:eastAsia="仿宋_GB2312"/>
              </w:rPr>
              <w:t>采购包3保证金金额：2,400.00元</w:t>
            </w:r>
          </w:p>
          <w:p>
            <w:pPr>
              <w:pStyle w:val="null3"/>
            </w:pPr>
            <w:r>
              <w:rPr>
                <w:rFonts w:ascii="仿宋_GB2312" w:hAnsi="仿宋_GB2312" w:cs="仿宋_GB2312" w:eastAsia="仿宋_GB2312"/>
              </w:rPr>
              <w:t>采购包4保证金金额：4,800.00元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开户名称：陕西正邦招标有限责任公司</w:t>
            </w:r>
          </w:p>
          <w:p>
            <w:pPr>
              <w:pStyle w:val="null3"/>
            </w:pPr>
            <w:r>
              <w:rPr>
                <w:rFonts w:ascii="仿宋_GB2312" w:hAnsi="仿宋_GB2312" w:cs="仿宋_GB2312" w:eastAsia="仿宋_GB2312"/>
              </w:rPr>
              <w:t>开户银行：平安银行西安分行营业部/平安银行西安分行</w:t>
            </w:r>
          </w:p>
          <w:p>
            <w:pPr>
              <w:pStyle w:val="null3"/>
            </w:pPr>
            <w:r>
              <w:rPr>
                <w:rFonts w:ascii="仿宋_GB2312" w:hAnsi="仿宋_GB2312" w:cs="仿宋_GB2312" w:eastAsia="仿宋_GB2312"/>
              </w:rPr>
              <w:t>银行账号：30205380001870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发改价格【2011】534号文规定，经协商由成交供应商向采购代理机构支付招标代理服务费（包含“招标代理费、会务费（如有）”），如本项目各包服务费不足伍仟元则供应商按伍仟元支付服务费。 缴费渠道： 开户名称：陕西正邦招标有限责任公司 开户银行：平安银行西安分行营业部/平安银行西安分行 银行账号：30205380001870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陕西省商务厅机关</w:t>
      </w:r>
      <w:r>
        <w:rPr>
          <w:rFonts w:ascii="仿宋_GB2312" w:hAnsi="仿宋_GB2312" w:cs="仿宋_GB2312" w:eastAsia="仿宋_GB2312"/>
        </w:rPr>
        <w:t>和</w:t>
      </w:r>
      <w:r>
        <w:rPr>
          <w:rFonts w:ascii="仿宋_GB2312" w:hAnsi="仿宋_GB2312" w:cs="仿宋_GB2312" w:eastAsia="仿宋_GB2312"/>
        </w:rPr>
        <w:t>陕西正邦招标有限责任公司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陕西省商务厅机关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陕西正邦招标有限责任公司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陕西省商务厅机关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陕西正邦招标有限责任公司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联系电话：029-85578186转838</w:t>
      </w:r>
    </w:p>
    <w:p>
      <w:pPr>
        <w:pStyle w:val="null3"/>
      </w:pPr>
      <w:r>
        <w:rPr>
          <w:rFonts w:ascii="仿宋_GB2312" w:hAnsi="仿宋_GB2312" w:cs="仿宋_GB2312" w:eastAsia="仿宋_GB2312"/>
        </w:rPr>
        <w:t>地址：西安市雁塔区朱雀大街南段69号长丰园三区5号楼9层9006室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第九届丝博会陕菜美食文化交流等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w:t>
      </w:r>
    </w:p>
    <w:p>
      <w:pPr>
        <w:pStyle w:val="null3"/>
      </w:pPr>
      <w:r>
        <w:rPr>
          <w:rFonts w:ascii="仿宋_GB2312" w:hAnsi="仿宋_GB2312" w:cs="仿宋_GB2312" w:eastAsia="仿宋_GB2312"/>
        </w:rPr>
        <w:t>采购包最高限价（元）: 160,000.00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名厨名镇老字号美食推介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国际美食展览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120,000.00</w:t>
      </w:r>
    </w:p>
    <w:p>
      <w:pPr>
        <w:pStyle w:val="null3"/>
      </w:pPr>
      <w:r>
        <w:rPr>
          <w:rFonts w:ascii="仿宋_GB2312" w:hAnsi="仿宋_GB2312" w:cs="仿宋_GB2312" w:eastAsia="仿宋_GB2312"/>
        </w:rPr>
        <w:t>采购包最高限价（元）: 120,000.00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主题宴会展示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240,000.00</w:t>
      </w:r>
    </w:p>
    <w:p>
      <w:pPr>
        <w:pStyle w:val="null3"/>
      </w:pPr>
      <w:r>
        <w:rPr>
          <w:rFonts w:ascii="仿宋_GB2312" w:hAnsi="仿宋_GB2312" w:cs="仿宋_GB2312" w:eastAsia="仿宋_GB2312"/>
        </w:rPr>
        <w:t>采购包最高限价（元）: 240,000.00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活动全程宣传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标的名称：名厨名镇老字号美食推介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rPr>
              <w:t>美食推介活动：</w:t>
            </w:r>
            <w:r>
              <w:rPr>
                <w:rFonts w:ascii="仿宋_GB2312" w:hAnsi="仿宋_GB2312" w:cs="仿宋_GB2312" w:eastAsia="仿宋_GB2312"/>
                <w:sz w:val="20"/>
              </w:rPr>
              <w:t>负责现场舞台搭建，组织协调现场推介各地名厨名菜地标美食、老字号非遗技艺展演、老字号新品推广、以及特色美食街区等内容，通过图文展示、现场讲解、美食品鉴等方式，吸引市民游客促消费，助推各地</w:t>
            </w:r>
            <w:r>
              <w:rPr>
                <w:rFonts w:ascii="仿宋_GB2312" w:hAnsi="仿宋_GB2312" w:cs="仿宋_GB2312" w:eastAsia="仿宋_GB2312"/>
                <w:sz w:val="20"/>
              </w:rPr>
              <w:t>“美食+”商文旅融合发展。</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标的名称：国际美食展览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邀请丝路沿线国家特色美食餐饮企业，现场制作展示展销异国风味美食，促进陕菜与国际美食交流互鉴，扩大国际美食影响力，促进餐饮消费。</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标的名称：主题宴会展示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组织省内陕菜品牌餐饮企业集中展示陕菜文化主题宴席，突出地域美食、绿色美食、时尚美食特色，宣传推广陕西菜品和宴席文化，促进餐饮供应链合作交流，提升陕菜品牌影响力。</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标的名称：活动全程宣传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left"/>
            </w:pPr>
            <w:r>
              <w:rPr>
                <w:rFonts w:ascii="仿宋_GB2312" w:hAnsi="仿宋_GB2312" w:cs="仿宋_GB2312" w:eastAsia="仿宋_GB2312"/>
                <w:sz w:val="20"/>
              </w:rPr>
              <w:t>充分发挥主流媒体、官方网站以及自媒体、融媒体作用，持续开展宣传推介工作，依托地铁站台巨幕投影媒体、地铁电视、车厢</w:t>
            </w:r>
            <w:r>
              <w:rPr>
                <w:rFonts w:ascii="仿宋_GB2312" w:hAnsi="仿宋_GB2312" w:cs="仿宋_GB2312" w:eastAsia="仿宋_GB2312"/>
                <w:sz w:val="20"/>
              </w:rPr>
              <w:t>LCD广告以及户外大屏广告、社区媒体等进行全方位宣传报道。</w:t>
            </w:r>
          </w:p>
          <w:p>
            <w:pPr>
              <w:pStyle w:val="null3"/>
              <w:jc w:val="both"/>
            </w:pPr>
            <w:r>
              <w:rPr>
                <w:rFonts w:ascii="仿宋_GB2312" w:hAnsi="仿宋_GB2312" w:cs="仿宋_GB2312" w:eastAsia="仿宋_GB2312"/>
                <w:sz w:val="20"/>
              </w:rPr>
              <w:t>包括：地铁广告矩阵、户外</w:t>
            </w:r>
            <w:r>
              <w:rPr>
                <w:rFonts w:ascii="仿宋_GB2312" w:hAnsi="仿宋_GB2312" w:cs="仿宋_GB2312" w:eastAsia="仿宋_GB2312"/>
                <w:sz w:val="20"/>
              </w:rPr>
              <w:t>LED广告、社区媒体广告、网络媒体宣传。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达到服务要求所必须的人员</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达到服务要求所必须的人员</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服务期限：2025年5月20日-5月28日（具体以合同约定执行）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服务期限：2025年5月20日-5月28日（具体以合同约定执行）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服务期限：2025年5月20日-5月28日（具体以合同约定执行）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服务期限：2025年5月20日-5月28日（具体以合同约定执行）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按采购人要求执行</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合同履行结束并验收合格后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合同履行结束并验收合格后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合同履行结束并验收合格后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合同履行结束并验收合格后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解决办法：1．在执行本合同中发生的或与本合同有关的争端，双方应通过友好协商解决，经协商在_10_天内不能达成协议时，则采取方式解决争议： （1）向甲方所在地有管辖权的人民法院提起诉讼； （2）向西安仲裁委员会按其仲裁规则申请仲裁。 2．在仲裁期间，本合同应继续履行。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违约责任：1．甲乙双方必须遵守本合同并执行合同中的各项规定，保证本合同的正常履行。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解决办法：1．在执行本合同中发生的或与本合同有关的争端，双方应通过友好协商解决，经协商在_10_天内不能达成协议时，则采取方式解决争议： （1）向甲方所在地有管辖权的人民法院提起诉讼； （2）向西安仲裁委员会按其仲裁规则申请仲裁。 2．在仲裁期间，本合同应继续履行。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违约责任：1．甲乙双方必须遵守本合同并执行合同中的各项规定，保证本合同的正常履行。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解决办法：1．在执行本合同中发生的或与本合同有关的争端，双方应通过友好协商解决，经协商在_10_天内不能达成协议时，则采取方式解决争议： （1）向甲方所在地有管辖权的人民法院提起诉讼； （2）向西安仲裁委员会按其仲裁规则申请仲裁。 2．在仲裁期间，本合同应继续履行。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违约责任：1．甲乙双方必须遵守本合同并执行合同中的各项规定，保证本合同的正常履行。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解决办法：1．在执行本合同中发生的或与本合同有关的争端，双方应通过友好协商解决，经协商在_10_天内不能达成协议时，则采取方式解决争议： （1）向甲方所在地有管辖权的人民法院提起诉讼； （2）向西安仲裁委员会按其仲裁规则申请仲裁。 2．在仲裁期间，本合同应继续履行。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1.供应商缴纳保证金时请备注：2615+包号。 2.（1）为保证项目存档使用供应商须提交纸质响应文件正本壹份、副本贰份。（2）纸质响应文件正、副本分别胶装递交，递交截止时间：开标后2个工作日之内，递交地址：西安市雁塔区朱雀大街南段69号长丰园三区5号楼9层9006室。（3）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财务审计报告（至少包括常规和三表一注，成立时间至提交磋商响应文件截止时间不足一年的可提供成立后任意时段的资产负债表），或其开标前六个月内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财务审计报告（至少包括常规和三表一注，成立时间至提交磋商响应文件截止时间不足一年的可提供成立后任意时段的资产负债表），或其开标前六个月内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财务审计报告（至少包括常规和三表一注，成立时间至提交磋商响应文件截止时间不足一年的可提供成立后任意时段的资产负债表），或其开标前六个月内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财务审计报告（至少包括常规和三表一注，成立时间至提交磋商响应文件截止时间不足一年的可提供成立后任意时段的资产负债表），或其开标前六个月内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磋商响应文件的签字盖章是否按照磋商文件要求进行的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磋商有效期是否满足磋商最低要求90天的</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磋商报价有效性</w:t>
            </w:r>
          </w:p>
        </w:tc>
        <w:tc>
          <w:tcPr>
            <w:tcW w:type="dxa" w:w="3322"/>
          </w:tcPr>
          <w:p>
            <w:pPr>
              <w:pStyle w:val="null3"/>
            </w:pPr>
            <w:r>
              <w:rPr>
                <w:rFonts w:ascii="仿宋_GB2312" w:hAnsi="仿宋_GB2312" w:cs="仿宋_GB2312" w:eastAsia="仿宋_GB2312"/>
              </w:rPr>
              <w:t>磋商报价是否唯一有效的或磋商报价是否超过采购预算</w:t>
            </w:r>
          </w:p>
        </w:tc>
        <w:tc>
          <w:tcPr>
            <w:tcW w:type="dxa" w:w="1661"/>
          </w:tcPr>
          <w:p>
            <w:pPr>
              <w:pStyle w:val="null3"/>
            </w:pPr>
            <w:r>
              <w:rPr>
                <w:rFonts w:ascii="仿宋_GB2312" w:hAnsi="仿宋_GB2312" w:cs="仿宋_GB2312" w:eastAsia="仿宋_GB2312"/>
              </w:rPr>
              <w:t>响应文件封面 标的清单 报价表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磋商响应文件的签字盖章是否按照磋商文件要求进行的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磋商有效期是否满足磋商最低要求90天的</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磋商报价有效性</w:t>
            </w:r>
          </w:p>
        </w:tc>
        <w:tc>
          <w:tcPr>
            <w:tcW w:type="dxa" w:w="3322"/>
          </w:tcPr>
          <w:p>
            <w:pPr>
              <w:pStyle w:val="null3"/>
            </w:pPr>
            <w:r>
              <w:rPr>
                <w:rFonts w:ascii="仿宋_GB2312" w:hAnsi="仿宋_GB2312" w:cs="仿宋_GB2312" w:eastAsia="仿宋_GB2312"/>
              </w:rPr>
              <w:t>磋商报价是否唯一有效的或磋商报价是否超过采购预算</w:t>
            </w:r>
          </w:p>
        </w:tc>
        <w:tc>
          <w:tcPr>
            <w:tcW w:type="dxa" w:w="1661"/>
          </w:tcPr>
          <w:p>
            <w:pPr>
              <w:pStyle w:val="null3"/>
            </w:pPr>
            <w:r>
              <w:rPr>
                <w:rFonts w:ascii="仿宋_GB2312" w:hAnsi="仿宋_GB2312" w:cs="仿宋_GB2312" w:eastAsia="仿宋_GB2312"/>
              </w:rPr>
              <w:t>响应文件封面 标的清单 报价表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磋商响应文件的签字盖章是否按照磋商文件要求进行的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磋商有效期是否满足磋商最低要求90天的</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磋商报价有效性</w:t>
            </w:r>
          </w:p>
        </w:tc>
        <w:tc>
          <w:tcPr>
            <w:tcW w:type="dxa" w:w="3322"/>
          </w:tcPr>
          <w:p>
            <w:pPr>
              <w:pStyle w:val="null3"/>
            </w:pPr>
            <w:r>
              <w:rPr>
                <w:rFonts w:ascii="仿宋_GB2312" w:hAnsi="仿宋_GB2312" w:cs="仿宋_GB2312" w:eastAsia="仿宋_GB2312"/>
              </w:rPr>
              <w:t>磋商报价是否唯一有效的或磋商报价是否超过采购预算</w:t>
            </w:r>
          </w:p>
        </w:tc>
        <w:tc>
          <w:tcPr>
            <w:tcW w:type="dxa" w:w="1661"/>
          </w:tcPr>
          <w:p>
            <w:pPr>
              <w:pStyle w:val="null3"/>
            </w:pPr>
            <w:r>
              <w:rPr>
                <w:rFonts w:ascii="仿宋_GB2312" w:hAnsi="仿宋_GB2312" w:cs="仿宋_GB2312" w:eastAsia="仿宋_GB2312"/>
              </w:rPr>
              <w:t>响应文件封面 标的清单 报价表 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磋商响应文件的签字盖章是否按照磋商文件要求进行的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磋商有效期是否满足磋商最低要求90天的</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磋商报价有效性</w:t>
            </w:r>
          </w:p>
        </w:tc>
        <w:tc>
          <w:tcPr>
            <w:tcW w:type="dxa" w:w="3322"/>
          </w:tcPr>
          <w:p>
            <w:pPr>
              <w:pStyle w:val="null3"/>
            </w:pPr>
            <w:r>
              <w:rPr>
                <w:rFonts w:ascii="仿宋_GB2312" w:hAnsi="仿宋_GB2312" w:cs="仿宋_GB2312" w:eastAsia="仿宋_GB2312"/>
              </w:rPr>
              <w:t>磋商报价是否唯一有效的或磋商报价是否超过采购预算</w:t>
            </w:r>
          </w:p>
        </w:tc>
        <w:tc>
          <w:tcPr>
            <w:tcW w:type="dxa" w:w="1661"/>
          </w:tcPr>
          <w:p>
            <w:pPr>
              <w:pStyle w:val="null3"/>
            </w:pPr>
            <w:r>
              <w:rPr>
                <w:rFonts w:ascii="仿宋_GB2312" w:hAnsi="仿宋_GB2312" w:cs="仿宋_GB2312" w:eastAsia="仿宋_GB2312"/>
              </w:rPr>
              <w:t>响应文件封面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项目总体实施方案</w:t>
            </w:r>
          </w:p>
        </w:tc>
        <w:tc>
          <w:tcPr>
            <w:tcW w:type="dxa" w:w="2492"/>
          </w:tcPr>
          <w:p>
            <w:pPr>
              <w:pStyle w:val="null3"/>
            </w:pPr>
            <w:r>
              <w:rPr>
                <w:rFonts w:ascii="仿宋_GB2312" w:hAnsi="仿宋_GB2312" w:cs="仿宋_GB2312" w:eastAsia="仿宋_GB2312"/>
              </w:rPr>
              <w:t>针对本项目服务要求编制，结合项目实际情况，对供应商服务方案的完善程度及合理性进行赋分。方案合理、完善的赋 7-10 分，方案较为合理、完善赋 4-7 分，方案较差、措施一般赋 0-4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工作进度计划及服务质量保障措施</w:t>
            </w:r>
          </w:p>
        </w:tc>
        <w:tc>
          <w:tcPr>
            <w:tcW w:type="dxa" w:w="2492"/>
          </w:tcPr>
          <w:p>
            <w:pPr>
              <w:pStyle w:val="null3"/>
            </w:pPr>
            <w:r>
              <w:rPr>
                <w:rFonts w:ascii="仿宋_GB2312" w:hAnsi="仿宋_GB2312" w:cs="仿宋_GB2312" w:eastAsia="仿宋_GB2312"/>
              </w:rPr>
              <w:t>工作进度计划合理、有可操作性，有详细的服务质量保障措施,在采购人规定的时间内高质量完成服务。措施方案合理、完善的赋 7-10 分，措施方案较为合理、完善赋 4-7 分，措施方案较差、一般赋 0-4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美食展销</w:t>
            </w:r>
          </w:p>
        </w:tc>
        <w:tc>
          <w:tcPr>
            <w:tcW w:type="dxa" w:w="2492"/>
          </w:tcPr>
          <w:p>
            <w:pPr>
              <w:pStyle w:val="null3"/>
            </w:pPr>
            <w:r>
              <w:rPr>
                <w:rFonts w:ascii="仿宋_GB2312" w:hAnsi="仿宋_GB2312" w:cs="仿宋_GB2312" w:eastAsia="仿宋_GB2312"/>
              </w:rPr>
              <w:t>布局合理、创意独特、构思新颖，根据采购内容服务要求，提供策划安排、场地规划等方案。主题突出、特色鲜明、设计新颖、简洁大方，将传统与现代相结合，方案完善、合理、可行，得 7-10 分；方案基本合理、可行，得 4-7分；方案内容简单，基本满足项目需求计 1-4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具有可行完善的突发事件及紧急情况处理措施方案</w:t>
            </w:r>
          </w:p>
        </w:tc>
        <w:tc>
          <w:tcPr>
            <w:tcW w:type="dxa" w:w="2492"/>
          </w:tcPr>
          <w:p>
            <w:pPr>
              <w:pStyle w:val="null3"/>
            </w:pPr>
            <w:r>
              <w:rPr>
                <w:rFonts w:ascii="仿宋_GB2312" w:hAnsi="仿宋_GB2312" w:cs="仿宋_GB2312" w:eastAsia="仿宋_GB2312"/>
              </w:rPr>
              <w:t>具有可行完善的突发事件及紧急情况处理措施方案。方案细致完整、可行、描述条理清晰，内容齐全，有较高的针对性赋 4-7 分，方案较完整，针对性一般赋2-4 分，方案含糊，针对性较差赋 0-2 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提供本项目消防安全、设施设备等措施确保活动顺利实施。</w:t>
            </w:r>
          </w:p>
        </w:tc>
        <w:tc>
          <w:tcPr>
            <w:tcW w:type="dxa" w:w="2492"/>
          </w:tcPr>
          <w:p>
            <w:pPr>
              <w:pStyle w:val="null3"/>
            </w:pPr>
            <w:r>
              <w:rPr>
                <w:rFonts w:ascii="仿宋_GB2312" w:hAnsi="仿宋_GB2312" w:cs="仿宋_GB2312" w:eastAsia="仿宋_GB2312"/>
              </w:rPr>
              <w:t>方案完善、合理、可行，得 6-8 分；方案基本合理、可行，得 3-6 分；方案内容简单，基本满足项目需求得，0-3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提供泔水区搭建、垃圾清运、安全巡查、展馆取电口至各展区用电接驳配电箱（柜）、电缆租赁、铺设等安全保障措施，保证活动顺利进行的方案。方案完善、合理、可行，得 7-10 分；方案基本合理、可行，得 4-7 分；方案内容简单，基本满足项目需求，得 1-4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有详细的人员配置方案，有健全的组织机构及工作安排，岗位分工明确，得 7-10分；有详细的人员配置方案，组织机构及工作安排基本完善、合理，岗位分工明确得，4-7 分；有详细的人员配置方案，组织机构及工作安排合理性差，岗位分工不明确，得 1-4 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具有良好的本地化服务能力，能够准确提供本地化服务。提供 7*24 小时售后，如设备或系统发生故障，在 10 分钟内响应，2 小时内到达现场解决问题，附本项目 售后人员联系方式。（包括但不限于服务人员配备、响应时间、响应程度、解决问 题能力、紧急故障处理预案等）进行综合评价。 售后服务方案齐全合理、可操作性强；7-10 分； 售后服务方案基本满足项目需求；3-7 分； 售后服务方案不完整或合理性低 0-3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1.活动进行前，供应商需对相应人员进行技术培训，在设备发生故障时的补救措施等方面有明确的承诺，承诺内容完善、合理、可行计 4-6 分，承诺内容基本完善、可行计 2-4 分，承诺内容欠缺，可行性差计 0-2 分，未提供不计分。 2.供应商须确保项目能按时、按质完成，提供服务承诺；且有具体的技术服务保障措施、服务能力方案；方案完善、合理、可行计 4-6 分，提供方案内容基本完善、可行计 2-4 分，提供方案内容欠缺，可行性差计 0-2 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供应商提供（2022年5月至今）类似项目业绩，每提供 1 个得 1 分，最高得 3分；业绩证明（以合同或中标通知书为准，须在文件中附合同的扫描件加盖单位公章。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项目总体实施方案</w:t>
            </w:r>
          </w:p>
        </w:tc>
        <w:tc>
          <w:tcPr>
            <w:tcW w:type="dxa" w:w="2492"/>
          </w:tcPr>
          <w:p>
            <w:pPr>
              <w:pStyle w:val="null3"/>
            </w:pPr>
            <w:r>
              <w:rPr>
                <w:rFonts w:ascii="仿宋_GB2312" w:hAnsi="仿宋_GB2312" w:cs="仿宋_GB2312" w:eastAsia="仿宋_GB2312"/>
              </w:rPr>
              <w:t>针对本项目服务要求编制，结合项目实际情况，对供应商服务方案的完善程度及合理性进行赋分。方案合理、完善的赋 7-10 分，方案较为合理、完善赋 4-7 分，方案较差、措施一般赋 0-4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工作进度计划及服务质量保障措施</w:t>
            </w:r>
          </w:p>
        </w:tc>
        <w:tc>
          <w:tcPr>
            <w:tcW w:type="dxa" w:w="2492"/>
          </w:tcPr>
          <w:p>
            <w:pPr>
              <w:pStyle w:val="null3"/>
            </w:pPr>
            <w:r>
              <w:rPr>
                <w:rFonts w:ascii="仿宋_GB2312" w:hAnsi="仿宋_GB2312" w:cs="仿宋_GB2312" w:eastAsia="仿宋_GB2312"/>
              </w:rPr>
              <w:t>工作进度计划合理、有可操作性，有详细的服务质量保障措施,在采购人规定的时间内高质量完成服务。措施方案合理、完善的赋 7-10 分，措施方案较为合理、完善赋 4-7 分，措施方案较差、一般赋 0-4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美食展销</w:t>
            </w:r>
          </w:p>
        </w:tc>
        <w:tc>
          <w:tcPr>
            <w:tcW w:type="dxa" w:w="2492"/>
          </w:tcPr>
          <w:p>
            <w:pPr>
              <w:pStyle w:val="null3"/>
            </w:pPr>
            <w:r>
              <w:rPr>
                <w:rFonts w:ascii="仿宋_GB2312" w:hAnsi="仿宋_GB2312" w:cs="仿宋_GB2312" w:eastAsia="仿宋_GB2312"/>
              </w:rPr>
              <w:t>布局合理、创意独特、构思新颖，根据采购内容服务要求，提供策划安排、场地规划等方案。主题突出、特色鲜明、设计新颖、简洁大方，将传统与现代相结合，方案完善、合理、可行，得 7-10 分；方案基本合理、可行，得 4-7分；方案内容简单，基本满足项目需求计 1-4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具有可行完善的突发事件及紧急情况处理措施方案</w:t>
            </w:r>
          </w:p>
        </w:tc>
        <w:tc>
          <w:tcPr>
            <w:tcW w:type="dxa" w:w="2492"/>
          </w:tcPr>
          <w:p>
            <w:pPr>
              <w:pStyle w:val="null3"/>
            </w:pPr>
            <w:r>
              <w:rPr>
                <w:rFonts w:ascii="仿宋_GB2312" w:hAnsi="仿宋_GB2312" w:cs="仿宋_GB2312" w:eastAsia="仿宋_GB2312"/>
              </w:rPr>
              <w:t>具有可行完善的突发事件及紧急情况处理措施方案。方案细致完整、可行、描述条理清晰，内容齐全，有较高的针对性赋 4-7 分，方案较完整，针对性一般赋2-4 分，方案含糊，针对性较差赋 0-2 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提供本项目消防安全、设施设备等措施确保活动顺利实施。</w:t>
            </w:r>
          </w:p>
        </w:tc>
        <w:tc>
          <w:tcPr>
            <w:tcW w:type="dxa" w:w="2492"/>
          </w:tcPr>
          <w:p>
            <w:pPr>
              <w:pStyle w:val="null3"/>
            </w:pPr>
            <w:r>
              <w:rPr>
                <w:rFonts w:ascii="仿宋_GB2312" w:hAnsi="仿宋_GB2312" w:cs="仿宋_GB2312" w:eastAsia="仿宋_GB2312"/>
              </w:rPr>
              <w:t>方案完善、合理、可行，得 6-8 分；方案基本合理、可行，得 3-6 分；方案内容简单，基本满足项目需求得，0-3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提供泔水区搭建、垃圾清运、安全巡查、展馆取电口至各展区用电接驳配电箱（柜）、电缆租赁、铺设等安全保障措施，保证活动顺利进行的方案。方案完善、合理、可行，得 7-10 分；方案基本合理、可行，得 4-7 分；方案内容简单，基本满足项目需求，得 1-4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有详细的人员配置方案，有健全的组织机构及工作安排，岗位分工明确，得 7-10分；有详细的人员配置方案，组织机构及工作安排基本完善、合理，岗位分工明确得，4-7 分；有详细的人员配置方案，组织机构及工作安排合理性差，岗位分工不明确，得 1-4 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具有良好的本地化服务能力，能够准确提供本地化服务。提供 7*24 小时售后，如设备或系统发生故障，在 10 分钟内响应，2 小时内到达现场解决问题，附本项目 售后人员联系方式。（包括但不限于服务人员配备、响应时间、响应程度、解决问 题能力、紧急故障处理预案等）进行综合评价。 售后服务方案齐全合理、可操作性强；7-10 分； 售后服务方案基本满足项目需求；3-7 分； 售后服务方案不完整或合理性低 0-3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1.活动进行前，供应商需对相应人员进行技术培训，在设备发生故障时的补救措施等方面有明确的承诺，承诺内容完善、合理、可行计 4-6 分，承诺内容基本完善、可行计 2-4 分，承诺内容欠缺，可行性差计 0-2 分，未提供不计分。 2.供应商须确保项目能按时、按质完成，提供服务承诺；且有具体的技术服务保障措施、服务能力方案；方案完善、合理、可行计 4-6 分，提供方案内容基本完善、可行计 2-4 分，提供方案内容欠缺，可行性差计 0-2 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供应商提供（2022年5月至今）类似项目业绩，每提供 1 个得 1 分，最高得 3分；业绩证明（以合同或中标通知书为准，须在文件中附合同的扫描件加盖单位公章。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项目总体实施方案</w:t>
            </w:r>
          </w:p>
        </w:tc>
        <w:tc>
          <w:tcPr>
            <w:tcW w:type="dxa" w:w="2492"/>
          </w:tcPr>
          <w:p>
            <w:pPr>
              <w:pStyle w:val="null3"/>
            </w:pPr>
            <w:r>
              <w:rPr>
                <w:rFonts w:ascii="仿宋_GB2312" w:hAnsi="仿宋_GB2312" w:cs="仿宋_GB2312" w:eastAsia="仿宋_GB2312"/>
              </w:rPr>
              <w:t>针对本项目服务要求编制，结合项目实际情况，对供应商服务方案的完善程度及合理性进行赋分。方案合理、完善的赋 7-10 分，方案较为合理、完善赋 4-7 分，方案较差、措施一般赋 0-4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工作进度计划及服务质量保障措施</w:t>
            </w:r>
          </w:p>
        </w:tc>
        <w:tc>
          <w:tcPr>
            <w:tcW w:type="dxa" w:w="2492"/>
          </w:tcPr>
          <w:p>
            <w:pPr>
              <w:pStyle w:val="null3"/>
            </w:pPr>
            <w:r>
              <w:rPr>
                <w:rFonts w:ascii="仿宋_GB2312" w:hAnsi="仿宋_GB2312" w:cs="仿宋_GB2312" w:eastAsia="仿宋_GB2312"/>
              </w:rPr>
              <w:t>工作进度计划合理、有可操作性，有详细的服务质量保障措施,在采购人规定的时间内高质量完成服务。措施方案合理、完善的赋 7-10 分，措施方案较为合理、完善赋 4-7 分，措施方案较差、一般赋 0-4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美食展销</w:t>
            </w:r>
          </w:p>
        </w:tc>
        <w:tc>
          <w:tcPr>
            <w:tcW w:type="dxa" w:w="2492"/>
          </w:tcPr>
          <w:p>
            <w:pPr>
              <w:pStyle w:val="null3"/>
            </w:pPr>
            <w:r>
              <w:rPr>
                <w:rFonts w:ascii="仿宋_GB2312" w:hAnsi="仿宋_GB2312" w:cs="仿宋_GB2312" w:eastAsia="仿宋_GB2312"/>
              </w:rPr>
              <w:t>布局合理、创意独特、构思新颖，根据采购内容服务要求，提供策划安排、场地规划等方案。主题突出、特色鲜明、设计新颖、简洁大方，将传统与现代相结合，方案完善、合理、可行，得 7-10 分；方案基本合理、可行，得 4-7分；方案内容简单，基本满足项目需求计 1-4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具有可行完善的突发事件及紧急情况处理措施方案</w:t>
            </w:r>
          </w:p>
        </w:tc>
        <w:tc>
          <w:tcPr>
            <w:tcW w:type="dxa" w:w="2492"/>
          </w:tcPr>
          <w:p>
            <w:pPr>
              <w:pStyle w:val="null3"/>
            </w:pPr>
            <w:r>
              <w:rPr>
                <w:rFonts w:ascii="仿宋_GB2312" w:hAnsi="仿宋_GB2312" w:cs="仿宋_GB2312" w:eastAsia="仿宋_GB2312"/>
              </w:rPr>
              <w:t>具有可行完善的突发事件及紧急情况处理措施方案。方案细致完整、可行、描述条理清晰，内容齐全，有较高的针对性赋 4-7 分，方案较完整，针对性一般赋2-4 分，方案含糊，针对性较差赋 0-2 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提供本项目消防安全、设施设备等措施确保活动顺利实施。</w:t>
            </w:r>
          </w:p>
        </w:tc>
        <w:tc>
          <w:tcPr>
            <w:tcW w:type="dxa" w:w="2492"/>
          </w:tcPr>
          <w:p>
            <w:pPr>
              <w:pStyle w:val="null3"/>
            </w:pPr>
            <w:r>
              <w:rPr>
                <w:rFonts w:ascii="仿宋_GB2312" w:hAnsi="仿宋_GB2312" w:cs="仿宋_GB2312" w:eastAsia="仿宋_GB2312"/>
              </w:rPr>
              <w:t>方案完善、合理、可行，得 6-8 分；方案基本合理、可行，得 3-6 分；方案内容简单，基本满足项目需求得，0-3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提供泔水区搭建、垃圾清运、安全巡查、展馆取电口至各展区用电接驳配电箱（柜）、电缆租赁、铺设等安全保障措施，保证活动顺利进行的方案。方案完善、合理、可行，得 7-10 分；方案基本合理、可行，得 4-7 分；方案内容简单，基本满足项目需求，得 1-4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有详细的人员配置方案，有健全的组织机构及工作安排，岗位分工明确，得 7-10分；有详细的人员配置方案，组织机构及工作安排基本完善、合理，岗位分工明确得，4-7 分；有详细的人员配置方案，组织机构及工作安排合理性差，岗位分工不明确，得 1-4 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具有良好的本地化服务能力，能够准确提供本地化服务。提供 7*24 小时售后，如设备或系统发生故障，在 10 分钟内响应，2 小时内到达现场解决问题，附本项目 售后人员联系方式。（包括但不限于服务人员配备、响应时间、响应程度、解决问 题能力、紧急故障处理预案等）进行综合评价。 售后服务方案齐全合理、可操作性强；7-10 分； 售后服务方案基本满足项目需求；3-7 分； 售后服务方案不完整或合理性低 0-3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1.活动进行前，供应商需对相应人员进行技术培训，在设备发生故障时的补救措施等方面有明确的承诺，承诺内容完善、合理、可行计 4-6 分，承诺内容基本完善、可行计 2-4 分，承诺内容欠缺，可行性差计 0-2 分，未提供不计分。 2.供应商须确保项目能按时、按质完成，提供服务承诺；且有具体的技术服务保障措施、服务能力方案；方案完善、合理、可行计 4-6 分，提供方案内容基本完善、可行计 2-4 分，提供方案内容欠缺，可行性差计 0-2 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供应商提供（2022年5月至今）类似项目业绩，每提供 1 个得 1 分，最高得 3分；业绩证明（以合同或中标通知书为准，须在文件中附合同的扫描件加盖单位公章。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项目总体实施方案</w:t>
            </w:r>
          </w:p>
        </w:tc>
        <w:tc>
          <w:tcPr>
            <w:tcW w:type="dxa" w:w="2492"/>
          </w:tcPr>
          <w:p>
            <w:pPr>
              <w:pStyle w:val="null3"/>
            </w:pPr>
            <w:r>
              <w:rPr>
                <w:rFonts w:ascii="仿宋_GB2312" w:hAnsi="仿宋_GB2312" w:cs="仿宋_GB2312" w:eastAsia="仿宋_GB2312"/>
              </w:rPr>
              <w:t>针对本项目服务要求编制，结合项目实际情况，对供应商服务方案的完善程度及合理性进行赋分。方案合理、完善的赋 10-15 分，方案较为合理、完善赋 5-10 分，方案较差、措施一般赋 0-5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工作进度计划及服务质量保障措施</w:t>
            </w:r>
          </w:p>
        </w:tc>
        <w:tc>
          <w:tcPr>
            <w:tcW w:type="dxa" w:w="2492"/>
          </w:tcPr>
          <w:p>
            <w:pPr>
              <w:pStyle w:val="null3"/>
            </w:pPr>
            <w:r>
              <w:rPr>
                <w:rFonts w:ascii="仿宋_GB2312" w:hAnsi="仿宋_GB2312" w:cs="仿宋_GB2312" w:eastAsia="仿宋_GB2312"/>
              </w:rPr>
              <w:t>工作进度计划合理、有可操作性，有详细的服务质量保障措施,在采购人规定的时间内高质量完成服务。措施方案合理、完善的赋 10-15 分，措施方案较为合理、完善赋 5-10 分，措施方案较差、一般赋 0-5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具有可行完善的突发事件及紧急情况处理措施方案</w:t>
            </w:r>
          </w:p>
        </w:tc>
        <w:tc>
          <w:tcPr>
            <w:tcW w:type="dxa" w:w="2492"/>
          </w:tcPr>
          <w:p>
            <w:pPr>
              <w:pStyle w:val="null3"/>
            </w:pPr>
            <w:r>
              <w:rPr>
                <w:rFonts w:ascii="仿宋_GB2312" w:hAnsi="仿宋_GB2312" w:cs="仿宋_GB2312" w:eastAsia="仿宋_GB2312"/>
              </w:rPr>
              <w:t>方案细致完整、可行、 描述条理清晰，内容齐全，有较高的针对性赋 7-10 分，方案较完整，针对性一般赋 4-7 分，方案含糊，针对性较差赋 0-4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提供具备本项目顺利实施的软硬件配备等方案</w:t>
            </w:r>
          </w:p>
        </w:tc>
        <w:tc>
          <w:tcPr>
            <w:tcW w:type="dxa" w:w="2492"/>
          </w:tcPr>
          <w:p>
            <w:pPr>
              <w:pStyle w:val="null3"/>
            </w:pPr>
            <w:r>
              <w:rPr>
                <w:rFonts w:ascii="仿宋_GB2312" w:hAnsi="仿宋_GB2312" w:cs="仿宋_GB2312" w:eastAsia="仿宋_GB2312"/>
              </w:rPr>
              <w:t>方案完善、合理、可行，得 4-5 分；方案基本合理、可行，得 2-4 分；方案内容简单，基本满足项目需求得，0-2分。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提供后勤保障方案</w:t>
            </w:r>
          </w:p>
        </w:tc>
        <w:tc>
          <w:tcPr>
            <w:tcW w:type="dxa" w:w="2492"/>
          </w:tcPr>
          <w:p>
            <w:pPr>
              <w:pStyle w:val="null3"/>
            </w:pPr>
            <w:r>
              <w:rPr>
                <w:rFonts w:ascii="仿宋_GB2312" w:hAnsi="仿宋_GB2312" w:cs="仿宋_GB2312" w:eastAsia="仿宋_GB2312"/>
              </w:rPr>
              <w:t>方案完善、合理、可行，得 7-10 分；方案基本合理、可行，得 4-7 分；方案内容简单，基本满足项目需求，得 1-4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有详细的人员配置方案，有健全的组织机构及工作安排，岗位分工明确，得 7-10 分；有详细的人员配置方案，组织机构及工作安排基本完善、合理，岗位分工明确 得，4-7 分；有详细的人员配置方案，组织机构及工作安排合理性差，岗位分工不明 确，得 1-4 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具有良好的本地化服务能力，能够准确提供本地化服务。提供 7*24 小时售后， 如设备或系统发生故障，在 10 分钟内响应，2 小时内到达现场解决问题，附本项目 售后人员联系方式。（包括但不限于服务人员配备、响应时间、响应程度、解决问题能力、紧急故障处理预案等）进行综合评价。 售后服务方案齐全合理、可操作性强9-13分； 售后服务方案基本满足项目需求4-9分； 售后服务方案不完整或合理性低0-4分；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供应商须确保项目能按时、按质完成，提供服务承诺；且有具体的技术服务保障措施、服务能力方案；方案完善、合理、可行计 6-9 分，提供方案内容基本完善、可行计 3-6 分，提供方案内容欠缺，可行性差计 0-3 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供应商提供（2022年5月至今）类似项目业绩，每提供 1 个得 1 分，最高得 3分；业绩证明（以合同或中标通知书为准，须在文件中附合同的扫描件加盖单位公章。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