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版本号：ZMZB2025XKD-73R20250508001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2025年通勤班车外包服务采购项目(二次)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ZMZB2025XKD-73R</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2025年通勤班车外包服务采购项目(二次)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ZMZB2025XKD-73R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2025年通勤班车外包服务采购项目(二次)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租用车辆主要用于西安雁塔校区与临潼校区之间通勤往返班车运输工作及学生接送站等运输工作。 （1）通勤班车运输工作情况： 根据学校通勤班车整体运行情况，现需要租用15余辆大客车（具体以实际需求为准），负责雁塔校区-临潼校区（骊山校园、秦汉校园，或途经秦汉校园再至骊山校园，或途经骊山校园再至秦汉校园，以上都视为同一目的地临潼校区）的通勤班车运输工作。雁塔-临潼校区往返为一个圈次，一个圈次行程约80公里，具体以实际为准。 （2）学生接站送站工作： 根据学校工作安排，需租用大客车（50座以上，必须有大件行李舱）负责火车站-临潼校区及高铁站-临潼校区的运输工作，运行圈次约100个圈次（具体以实际需求为准，租车费用按实际圈次结算）。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6、法定代表人授权书：非法定代表人参加磋商的，须提供法定代表人委托授权书和被授权人身份证，法定代表人参加投标时,只需提供法定代表人身份证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8、道路运输经营许可证：提供交通管理部门核发有效的《道路运输经营许可证》</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13609243561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黄乐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说明：供应商凭成交通知书向采购人缴纳预算金额的 5 %作为履约保证金，待合同履约完毕后且与甲方无任何纠纷，则甲方予以无息退还。如乙方怠于履行义务或者不予承担其应当承担的责任时，甲方可直接使用保证金代为履行，事后乙方应于48小时内补足履约保证金，且其相关责任仍应承担，否则视为违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的0.775折计算。 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联系人：黄乐</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租用车辆主要用于西安雁塔校区与临潼校区之间通勤往返班车运输工作及学生接送站等运输工作。</w:t>
      </w:r>
    </w:p>
    <w:p>
      <w:pPr>
        <w:pStyle w:val="null3"/>
        <w:ind w:firstLine="400"/>
      </w:pPr>
      <w:r>
        <w:rPr>
          <w:rFonts w:ascii="仿宋_GB2312" w:hAnsi="仿宋_GB2312" w:cs="仿宋_GB2312" w:eastAsia="仿宋_GB2312"/>
        </w:rPr>
        <w:t>（</w:t>
      </w:r>
      <w:r>
        <w:rPr>
          <w:rFonts w:ascii="仿宋_GB2312" w:hAnsi="仿宋_GB2312" w:cs="仿宋_GB2312" w:eastAsia="仿宋_GB2312"/>
        </w:rPr>
        <w:t>1）通勤班车运输工作情况：</w:t>
      </w:r>
    </w:p>
    <w:p>
      <w:pPr>
        <w:pStyle w:val="null3"/>
        <w:ind w:firstLine="400"/>
      </w:pPr>
      <w:r>
        <w:rPr>
          <w:rFonts w:ascii="仿宋_GB2312" w:hAnsi="仿宋_GB2312" w:cs="仿宋_GB2312" w:eastAsia="仿宋_GB2312"/>
        </w:rPr>
        <w:t>根据学校通勤班车整体运行情况，现需要租用</w:t>
      </w:r>
      <w:r>
        <w:rPr>
          <w:rFonts w:ascii="仿宋_GB2312" w:hAnsi="仿宋_GB2312" w:cs="仿宋_GB2312" w:eastAsia="仿宋_GB2312"/>
        </w:rPr>
        <w:t>15</w:t>
      </w:r>
      <w:r>
        <w:rPr>
          <w:rFonts w:ascii="仿宋_GB2312" w:hAnsi="仿宋_GB2312" w:cs="仿宋_GB2312" w:eastAsia="仿宋_GB2312"/>
        </w:rPr>
        <w:t>余辆大客车（具体以实际需求为准），负责雁塔校区</w:t>
      </w:r>
      <w:r>
        <w:rPr>
          <w:rFonts w:ascii="仿宋_GB2312" w:hAnsi="仿宋_GB2312" w:cs="仿宋_GB2312" w:eastAsia="仿宋_GB2312"/>
        </w:rPr>
        <w:t>-临潼校区（骊山校园、秦汉校园，或途经秦汉校园再至骊山校园，或途经骊山校园再至秦汉校园，以上都视为同一目的地临潼校区）的通勤班车运输工作。雁塔-临潼校区往返为一个圈次，一个圈次行程约80公里，具体以实际为准。</w:t>
      </w:r>
    </w:p>
    <w:p>
      <w:pPr>
        <w:pStyle w:val="null3"/>
        <w:ind w:firstLine="400"/>
      </w:pPr>
      <w:r>
        <w:rPr>
          <w:rFonts w:ascii="仿宋_GB2312" w:hAnsi="仿宋_GB2312" w:cs="仿宋_GB2312" w:eastAsia="仿宋_GB2312"/>
        </w:rPr>
        <w:t>（</w:t>
      </w:r>
      <w:r>
        <w:rPr>
          <w:rFonts w:ascii="仿宋_GB2312" w:hAnsi="仿宋_GB2312" w:cs="仿宋_GB2312" w:eastAsia="仿宋_GB2312"/>
        </w:rPr>
        <w:t>2）学生接站送站工作：</w:t>
      </w:r>
    </w:p>
    <w:p>
      <w:pPr>
        <w:pStyle w:val="null3"/>
        <w:ind w:firstLine="400"/>
      </w:pPr>
      <w:r>
        <w:rPr>
          <w:rFonts w:ascii="仿宋_GB2312" w:hAnsi="仿宋_GB2312" w:cs="仿宋_GB2312" w:eastAsia="仿宋_GB2312"/>
        </w:rPr>
        <w:t>根据学校工作安排，需租用大客车（</w:t>
      </w:r>
      <w:r>
        <w:rPr>
          <w:rFonts w:ascii="仿宋_GB2312" w:hAnsi="仿宋_GB2312" w:cs="仿宋_GB2312" w:eastAsia="仿宋_GB2312"/>
        </w:rPr>
        <w:t>50座以上，必须有大件行李舱）负责火车站-临潼校区及高铁站-临潼校区的运输工作，运行圈次约100个圈次（具体以实际需求为准，租车费用按实际圈次结算）。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870.00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通勤班车车辆外包服务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标的名称：通勤班车车辆外包服务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、服务内容</w:t>
            </w:r>
          </w:p>
          <w:p>
            <w:pPr>
              <w:pStyle w:val="null3"/>
              <w:ind w:firstLine="400"/>
            </w:pPr>
            <w:r>
              <w:rPr>
                <w:rFonts w:ascii="仿宋_GB2312" w:hAnsi="仿宋_GB2312" w:cs="仿宋_GB2312" w:eastAsia="仿宋_GB2312"/>
              </w:rPr>
              <w:t>（</w:t>
            </w:r>
            <w:r>
              <w:rPr>
                <w:rFonts w:ascii="仿宋_GB2312" w:hAnsi="仿宋_GB2312" w:cs="仿宋_GB2312" w:eastAsia="仿宋_GB2312"/>
              </w:rPr>
              <w:t>1）租车要求</w:t>
            </w:r>
          </w:p>
          <w:p>
            <w:pPr>
              <w:pStyle w:val="null3"/>
              <w:ind w:firstLine="400"/>
            </w:pPr>
            <w:r>
              <w:rPr>
                <w:rFonts w:ascii="仿宋_GB2312" w:hAnsi="仿宋_GB2312" w:cs="仿宋_GB2312" w:eastAsia="仿宋_GB2312"/>
              </w:rPr>
              <w:t>①学校租用的所有车辆必须符合交管部门对车辆允许上路运营的所有要求。</w:t>
            </w:r>
          </w:p>
          <w:p>
            <w:pPr>
              <w:pStyle w:val="null3"/>
              <w:ind w:firstLine="400"/>
            </w:pPr>
            <w:r>
              <w:rPr>
                <w:rFonts w:ascii="仿宋_GB2312" w:hAnsi="仿宋_GB2312" w:cs="仿宋_GB2312" w:eastAsia="仿宋_GB2312"/>
              </w:rPr>
              <w:t>②学校租用的所有车辆，在运行当中所产生的所有费用（如保险费、油费、过路费、维修费等）学校概不承担，均由供应商负责承担，学校只承担双方签订合同内的租金。</w:t>
            </w:r>
          </w:p>
          <w:p>
            <w:pPr>
              <w:pStyle w:val="null3"/>
              <w:ind w:firstLine="400"/>
            </w:pPr>
            <w:r>
              <w:rPr>
                <w:rFonts w:ascii="仿宋_GB2312" w:hAnsi="仿宋_GB2312" w:cs="仿宋_GB2312" w:eastAsia="仿宋_GB2312"/>
              </w:rPr>
              <w:t>③所有租用车辆必须车况良好、手续齐全，驾驶员必须证照齐全符合上岗标准。</w:t>
            </w:r>
          </w:p>
          <w:p>
            <w:pPr>
              <w:pStyle w:val="null3"/>
              <w:ind w:firstLine="400"/>
            </w:pPr>
            <w:r>
              <w:rPr>
                <w:rFonts w:ascii="仿宋_GB2312" w:hAnsi="仿宋_GB2312" w:cs="仿宋_GB2312" w:eastAsia="仿宋_GB2312"/>
              </w:rPr>
              <w:t>④要求所租用的大客车核载人数必须是50人以上，中型车核载人数必须是20人及以上。</w:t>
            </w:r>
          </w:p>
          <w:p>
            <w:pPr>
              <w:pStyle w:val="null3"/>
              <w:ind w:firstLine="400"/>
            </w:pPr>
            <w:r>
              <w:rPr>
                <w:rFonts w:ascii="仿宋_GB2312" w:hAnsi="仿宋_GB2312" w:cs="仿宋_GB2312" w:eastAsia="仿宋_GB2312"/>
              </w:rPr>
              <w:t>⑤根据学校需要对固定在学校的通勤车辆须统一喷涂“西安科技大学”标识。</w:t>
            </w:r>
          </w:p>
          <w:p>
            <w:pPr>
              <w:pStyle w:val="null3"/>
              <w:ind w:firstLine="400"/>
            </w:pPr>
            <w:r>
              <w:rPr>
                <w:rFonts w:ascii="仿宋_GB2312" w:hAnsi="仿宋_GB2312" w:cs="仿宋_GB2312" w:eastAsia="仿宋_GB2312"/>
              </w:rPr>
              <w:t>（</w:t>
            </w:r>
            <w:r>
              <w:rPr>
                <w:rFonts w:ascii="仿宋_GB2312" w:hAnsi="仿宋_GB2312" w:cs="仿宋_GB2312" w:eastAsia="仿宋_GB2312"/>
              </w:rPr>
              <w:t>2）租用价格要求：</w:t>
            </w:r>
          </w:p>
          <w:p>
            <w:pPr>
              <w:pStyle w:val="null3"/>
              <w:ind w:firstLine="400"/>
            </w:pPr>
            <w:r>
              <w:rPr>
                <w:rFonts w:ascii="仿宋_GB2312" w:hAnsi="仿宋_GB2312" w:cs="仿宋_GB2312" w:eastAsia="仿宋_GB2312"/>
              </w:rPr>
              <w:t>★①要求供应商自主报价（备注：车辆第一个圈次（往返）的价格为单价）</w:t>
            </w:r>
          </w:p>
          <w:p>
            <w:pPr>
              <w:pStyle w:val="null3"/>
              <w:ind w:firstLine="400"/>
            </w:pPr>
            <w:r>
              <w:rPr>
                <w:rFonts w:ascii="仿宋_GB2312" w:hAnsi="仿宋_GB2312" w:cs="仿宋_GB2312" w:eastAsia="仿宋_GB2312"/>
              </w:rPr>
              <w:t>日常通勤</w:t>
            </w:r>
            <w:r>
              <w:rPr>
                <w:rFonts w:ascii="仿宋_GB2312" w:hAnsi="仿宋_GB2312" w:cs="仿宋_GB2312" w:eastAsia="仿宋_GB2312"/>
              </w:rPr>
              <w:t>50座大巴报价、接送站50座大巴报价要求：</w:t>
            </w:r>
          </w:p>
          <w:p>
            <w:pPr>
              <w:pStyle w:val="null3"/>
            </w:pPr>
            <w:r>
              <w:rPr>
                <w:rFonts w:ascii="仿宋_GB2312" w:hAnsi="仿宋_GB2312" w:cs="仿宋_GB2312" w:eastAsia="仿宋_GB2312"/>
              </w:rPr>
              <w:t>需要报日常通勤大客车（至少</w:t>
            </w:r>
            <w:r>
              <w:rPr>
                <w:rFonts w:ascii="仿宋_GB2312" w:hAnsi="仿宋_GB2312" w:cs="仿宋_GB2312" w:eastAsia="仿宋_GB2312"/>
              </w:rPr>
              <w:t>50座）在运行的第一圈的单价</w:t>
            </w:r>
            <w:r>
              <w:rPr>
                <w:rFonts w:ascii="仿宋_GB2312" w:hAnsi="仿宋_GB2312" w:cs="仿宋_GB2312" w:eastAsia="仿宋_GB2312"/>
                <w:b/>
              </w:rPr>
              <w:t>（设拦标价为</w:t>
            </w:r>
            <w:r>
              <w:rPr>
                <w:rFonts w:ascii="仿宋_GB2312" w:hAnsi="仿宋_GB2312" w:cs="仿宋_GB2312" w:eastAsia="仿宋_GB2312"/>
                <w:b/>
              </w:rPr>
              <w:t>870元）</w:t>
            </w:r>
            <w:r>
              <w:rPr>
                <w:rFonts w:ascii="仿宋_GB2312" w:hAnsi="仿宋_GB2312" w:cs="仿宋_GB2312" w:eastAsia="仿宋_GB2312"/>
              </w:rPr>
              <w:t>；日常通勤</w:t>
            </w:r>
            <w:r>
              <w:rPr>
                <w:rFonts w:ascii="仿宋_GB2312" w:hAnsi="仿宋_GB2312" w:cs="仿宋_GB2312" w:eastAsia="仿宋_GB2312"/>
              </w:rPr>
              <w:t>50座大巴第二圈、第三圈（同一辆车一天内跑的第二圈及第三圈）以及20座中巴、接送站50座大巴不用报价，日常通勤50座大巴第二圈价格按照第一圈单价的60%确定，第三圈价格按照第一圈单价的40%确定；20座中巴第一圈单价按照50座大巴报价雁塔校区至临潼校区第一圈单价的60%确定，20座中巴第二圈单价按照20座中巴第一圈单价的60%确定，20座中巴第三圈单价按照20座中巴第一圈单价的40%确定；接送站50座大巴车每圈单价按照日常通勤50座大巴雁塔校区至临潼校区第一圈单价的60%确定。</w:t>
            </w:r>
          </w:p>
          <w:p>
            <w:pPr>
              <w:pStyle w:val="null3"/>
              <w:ind w:firstLine="400"/>
            </w:pPr>
            <w:r>
              <w:rPr>
                <w:rFonts w:ascii="仿宋_GB2312" w:hAnsi="仿宋_GB2312" w:cs="仿宋_GB2312" w:eastAsia="仿宋_GB2312"/>
              </w:rPr>
              <w:t>②其他：学校有备车需求时，按照学校调度要求，免费备车。</w:t>
            </w:r>
          </w:p>
          <w:p>
            <w:pPr>
              <w:pStyle w:val="null3"/>
              <w:ind w:firstLine="400"/>
            </w:pPr>
            <w:r>
              <w:rPr>
                <w:rFonts w:ascii="仿宋_GB2312" w:hAnsi="仿宋_GB2312" w:cs="仿宋_GB2312" w:eastAsia="仿宋_GB2312"/>
              </w:rPr>
              <w:t>（</w:t>
            </w:r>
            <w:r>
              <w:rPr>
                <w:rFonts w:ascii="仿宋_GB2312" w:hAnsi="仿宋_GB2312" w:cs="仿宋_GB2312" w:eastAsia="仿宋_GB2312"/>
              </w:rPr>
              <w:t>3）具体报价项目</w:t>
            </w:r>
          </w:p>
          <w:tbl>
            <w:tblPr>
              <w:tblBorders>
                <w:top w:val="none" w:color="000000" w:sz="4"/>
                <w:left w:val="none" w:color="000000" w:sz="4"/>
                <w:bottom w:val="none" w:color="000000" w:sz="4"/>
                <w:right w:val="none" w:color="000000" w:sz="4"/>
                <w:insideH w:val="none"/>
                <w:insideV w:val="none"/>
              </w:tblBorders>
            </w:tblPr>
            <w:tblGrid>
              <w:gridCol w:w="263"/>
              <w:gridCol w:w="445"/>
              <w:gridCol w:w="951"/>
              <w:gridCol w:w="457"/>
              <w:gridCol w:w="435"/>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序号</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报价项</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行驶线路区间</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车辆类型</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第一圈</w:t>
                  </w:r>
                </w:p>
                <w:p>
                  <w:pPr>
                    <w:pStyle w:val="null3"/>
                  </w:pPr>
                  <w:r>
                    <w:rPr>
                      <w:rFonts w:ascii="仿宋_GB2312" w:hAnsi="仿宋_GB2312" w:cs="仿宋_GB2312" w:eastAsia="仿宋_GB2312"/>
                      <w:sz w:val="19"/>
                      <w:b/>
                    </w:rPr>
                    <w:t>最高限价</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50座大巴报价</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雁塔校区至临潼校区（含骊山校园、秦汉校园）</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50座大客车</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870元</w:t>
                  </w:r>
                </w:p>
              </w:tc>
            </w:tr>
          </w:tbl>
          <w:p>
            <w:pPr>
              <w:pStyle w:val="null3"/>
              <w:ind w:firstLine="402"/>
            </w:pPr>
            <w:r>
              <w:rPr>
                <w:rFonts w:ascii="仿宋_GB2312" w:hAnsi="仿宋_GB2312" w:cs="仿宋_GB2312" w:eastAsia="仿宋_GB2312"/>
                <w:b/>
              </w:rPr>
              <w:t>备注：西安至临潼每一个往返为一个圈次，按实际出勤圈次计算费用。</w:t>
            </w:r>
            <w:r>
              <w:rPr>
                <w:rFonts w:ascii="仿宋_GB2312" w:hAnsi="仿宋_GB2312" w:cs="仿宋_GB2312" w:eastAsia="仿宋_GB2312"/>
              </w:rPr>
              <w:t xml:space="preserve"> </w:t>
            </w:r>
          </w:p>
          <w:p>
            <w:pPr>
              <w:pStyle w:val="null3"/>
              <w:ind w:firstLine="400"/>
            </w:pPr>
            <w:r>
              <w:rPr>
                <w:rFonts w:ascii="仿宋_GB2312" w:hAnsi="仿宋_GB2312" w:cs="仿宋_GB2312" w:eastAsia="仿宋_GB2312"/>
              </w:rPr>
              <w:t>供应商须按第一圈次报价。</w:t>
            </w:r>
          </w:p>
          <w:p>
            <w:pPr>
              <w:pStyle w:val="null3"/>
              <w:ind w:firstLine="400"/>
            </w:pPr>
            <w:r>
              <w:rPr>
                <w:rFonts w:ascii="仿宋_GB2312" w:hAnsi="仿宋_GB2312" w:cs="仿宋_GB2312" w:eastAsia="仿宋_GB2312"/>
              </w:rPr>
              <w:t>供应商在响应文件中所报单价须包含完成该项目发生的全部费用，合同期内采购方不再另行支付任何费用。本次报价包含包车车辆的季审、年审、车险、轮胎、维修、燃料、供养、税金、营运费、管理费、人员人工、工具器材、损耗品及材料、购置乘客意外事故险等一切费用。供应商需根据车型作出详细的分项报价（每日一圈往返、两圈往返、三圈及三圈以上往返单次报价）。</w:t>
            </w:r>
          </w:p>
          <w:p>
            <w:pPr>
              <w:pStyle w:val="null3"/>
              <w:ind w:firstLine="400"/>
            </w:pPr>
            <w:r>
              <w:rPr>
                <w:rFonts w:ascii="仿宋_GB2312" w:hAnsi="仿宋_GB2312" w:cs="仿宋_GB2312" w:eastAsia="仿宋_GB2312"/>
              </w:rPr>
              <w:t>（</w:t>
            </w:r>
            <w:r>
              <w:rPr>
                <w:rFonts w:ascii="仿宋_GB2312" w:hAnsi="仿宋_GB2312" w:cs="仿宋_GB2312" w:eastAsia="仿宋_GB2312"/>
              </w:rPr>
              <w:t>4）车辆的计量方式按照采购人的要求执行，供应商按圈次报价，须经采购人认可，采购人有权在车辆安装车载P0S机，为实现校园一卡通刷卡乘车及乘车数据统计，采取相应措施提高车辆利用率。</w:t>
            </w:r>
          </w:p>
          <w:p>
            <w:pPr>
              <w:pStyle w:val="null3"/>
            </w:pPr>
            <w:r>
              <w:rPr>
                <w:rFonts w:ascii="仿宋_GB2312" w:hAnsi="仿宋_GB2312" w:cs="仿宋_GB2312" w:eastAsia="仿宋_GB2312"/>
              </w:rPr>
              <w:t xml:space="preserve"> </w:t>
            </w:r>
            <w:r>
              <w:rPr>
                <w:rFonts w:ascii="仿宋_GB2312" w:hAnsi="仿宋_GB2312" w:cs="仿宋_GB2312" w:eastAsia="仿宋_GB2312"/>
                <w:b/>
              </w:rPr>
              <w:t>二、</w:t>
            </w:r>
            <w:r>
              <w:rPr>
                <w:rFonts w:ascii="仿宋_GB2312" w:hAnsi="仿宋_GB2312" w:cs="仿宋_GB2312" w:eastAsia="仿宋_GB2312"/>
                <w:b/>
              </w:rPr>
              <w:t>服务要求</w:t>
            </w:r>
          </w:p>
          <w:p>
            <w:pPr>
              <w:pStyle w:val="null3"/>
              <w:ind w:firstLine="400"/>
            </w:pPr>
            <w:r>
              <w:rPr>
                <w:rFonts w:ascii="仿宋_GB2312" w:hAnsi="仿宋_GB2312" w:cs="仿宋_GB2312" w:eastAsia="仿宋_GB2312"/>
              </w:rPr>
              <w:t>（一）供应商要求</w:t>
            </w:r>
          </w:p>
          <w:p>
            <w:pPr>
              <w:pStyle w:val="null3"/>
              <w:ind w:firstLine="400"/>
            </w:pPr>
            <w:r>
              <w:rPr>
                <w:rFonts w:ascii="仿宋_GB2312" w:hAnsi="仿宋_GB2312" w:cs="仿宋_GB2312" w:eastAsia="仿宋_GB2312"/>
              </w:rPr>
              <w:t>（</w:t>
            </w:r>
            <w:r>
              <w:rPr>
                <w:rFonts w:ascii="仿宋_GB2312" w:hAnsi="仿宋_GB2312" w:cs="仿宋_GB2312" w:eastAsia="仿宋_GB2312"/>
              </w:rPr>
              <w:t>1）成交供应商应指派1名班长（可由驾驶员兼任），负责其所属通勤班车调度及驾驶员管理、与学校对接等相关事宜。</w:t>
            </w:r>
          </w:p>
          <w:p>
            <w:pPr>
              <w:pStyle w:val="null3"/>
              <w:ind w:firstLine="400"/>
            </w:pPr>
            <w:r>
              <w:rPr>
                <w:rFonts w:ascii="仿宋_GB2312" w:hAnsi="仿宋_GB2312" w:cs="仿宋_GB2312" w:eastAsia="仿宋_GB2312"/>
              </w:rPr>
              <w:t>（</w:t>
            </w:r>
            <w:r>
              <w:rPr>
                <w:rFonts w:ascii="仿宋_GB2312" w:hAnsi="仿宋_GB2312" w:cs="仿宋_GB2312" w:eastAsia="仿宋_GB2312"/>
              </w:rPr>
              <w:t>2）无论在任何时候，优先保障通勤班车运输任务。如因班车调度不到位造成教师上课延误导致教学事故或行政人员未能正常到岗办公等情况，将视情节扣除相应圈次包车费用或双倍费用；如造成严重后果或出现3次及以上类似情况将终止合同。</w:t>
            </w:r>
          </w:p>
          <w:p>
            <w:pPr>
              <w:pStyle w:val="null3"/>
              <w:ind w:firstLine="400"/>
            </w:pPr>
            <w:r>
              <w:rPr>
                <w:rFonts w:ascii="仿宋_GB2312" w:hAnsi="仿宋_GB2312" w:cs="仿宋_GB2312" w:eastAsia="仿宋_GB2312"/>
              </w:rPr>
              <w:t>（</w:t>
            </w:r>
            <w:r>
              <w:rPr>
                <w:rFonts w:ascii="仿宋_GB2312" w:hAnsi="仿宋_GB2312" w:cs="仿宋_GB2312" w:eastAsia="仿宋_GB2312"/>
              </w:rPr>
              <w:t>3）成交供应商应遵守《西安科技大学通勤班车外租车辆合作单位管理办法》等相关规定，特别是需要严格按照学校规定路线行驶，严禁中途甩客，严禁车辆未经校方同意擅自发车或发空车等违规行为，若有违反者按照相关规定进行处罚。</w:t>
            </w:r>
          </w:p>
          <w:p>
            <w:pPr>
              <w:pStyle w:val="null3"/>
              <w:ind w:firstLine="400"/>
            </w:pPr>
            <w:r>
              <w:rPr>
                <w:rFonts w:ascii="仿宋_GB2312" w:hAnsi="仿宋_GB2312" w:cs="仿宋_GB2312" w:eastAsia="仿宋_GB2312"/>
              </w:rPr>
              <w:t>★（4）确保提供车辆是自有车辆，必须有营运手续。不接受挂靠车辆和联合体参与投标，一经查实取消供应商资格并没收磋商保证金。</w:t>
            </w:r>
          </w:p>
          <w:p>
            <w:pPr>
              <w:pStyle w:val="null3"/>
              <w:ind w:firstLine="400"/>
            </w:pPr>
            <w:r>
              <w:rPr>
                <w:rFonts w:ascii="仿宋_GB2312" w:hAnsi="仿宋_GB2312" w:cs="仿宋_GB2312" w:eastAsia="仿宋_GB2312"/>
              </w:rPr>
              <w:t>（</w:t>
            </w:r>
            <w:r>
              <w:rPr>
                <w:rFonts w:ascii="仿宋_GB2312" w:hAnsi="仿宋_GB2312" w:cs="仿宋_GB2312" w:eastAsia="仿宋_GB2312"/>
              </w:rPr>
              <w:t>5）承诺近3年内未发生重大的安全责任事故、管理责任事故及交通责任事故。</w:t>
            </w:r>
          </w:p>
          <w:p>
            <w:pPr>
              <w:pStyle w:val="null3"/>
              <w:ind w:firstLine="400"/>
            </w:pPr>
            <w:r>
              <w:rPr>
                <w:rFonts w:ascii="仿宋_GB2312" w:hAnsi="仿宋_GB2312" w:cs="仿宋_GB2312" w:eastAsia="仿宋_GB2312"/>
              </w:rPr>
              <w:t>（</w:t>
            </w:r>
            <w:r>
              <w:rPr>
                <w:rFonts w:ascii="仿宋_GB2312" w:hAnsi="仿宋_GB2312" w:cs="仿宋_GB2312" w:eastAsia="仿宋_GB2312"/>
              </w:rPr>
              <w:t>6）供应商需拥有自购买之日起</w:t>
            </w:r>
            <w:r>
              <w:rPr>
                <w:rFonts w:ascii="仿宋_GB2312" w:hAnsi="仿宋_GB2312" w:cs="仿宋_GB2312" w:eastAsia="仿宋_GB2312"/>
              </w:rPr>
              <w:t>4</w:t>
            </w:r>
            <w:r>
              <w:rPr>
                <w:rFonts w:ascii="仿宋_GB2312" w:hAnsi="仿宋_GB2312" w:cs="仿宋_GB2312" w:eastAsia="仿宋_GB2312"/>
              </w:rPr>
              <w:t>年内，</w:t>
            </w:r>
            <w:r>
              <w:rPr>
                <w:rFonts w:ascii="仿宋_GB2312" w:hAnsi="仿宋_GB2312" w:cs="仿宋_GB2312" w:eastAsia="仿宋_GB2312"/>
              </w:rPr>
              <w:t>20座以上5台</w:t>
            </w:r>
            <w:r>
              <w:rPr>
                <w:rFonts w:ascii="仿宋_GB2312" w:hAnsi="仿宋_GB2312" w:cs="仿宋_GB2312" w:eastAsia="仿宋_GB2312"/>
              </w:rPr>
              <w:t>及</w:t>
            </w:r>
            <w:r>
              <w:rPr>
                <w:rFonts w:ascii="仿宋_GB2312" w:hAnsi="仿宋_GB2312" w:cs="仿宋_GB2312" w:eastAsia="仿宋_GB2312"/>
              </w:rPr>
              <w:t>以上，商务车（</w:t>
            </w:r>
            <w:r>
              <w:rPr>
                <w:rFonts w:ascii="仿宋_GB2312" w:hAnsi="仿宋_GB2312" w:cs="仿宋_GB2312" w:eastAsia="仿宋_GB2312"/>
              </w:rPr>
              <w:t>7-9座）3台及以上，轿车（5座）5台</w:t>
            </w:r>
            <w:r>
              <w:rPr>
                <w:rFonts w:ascii="仿宋_GB2312" w:hAnsi="仿宋_GB2312" w:cs="仿宋_GB2312" w:eastAsia="仿宋_GB2312"/>
              </w:rPr>
              <w:t>及</w:t>
            </w:r>
            <w:r>
              <w:rPr>
                <w:rFonts w:ascii="仿宋_GB2312" w:hAnsi="仿宋_GB2312" w:cs="仿宋_GB2312" w:eastAsia="仿宋_GB2312"/>
              </w:rPr>
              <w:t>以上。方便采购人组织大型活动使用。</w:t>
            </w:r>
          </w:p>
          <w:p>
            <w:pPr>
              <w:pStyle w:val="null3"/>
              <w:ind w:firstLine="400"/>
            </w:pPr>
            <w:r>
              <w:rPr>
                <w:rFonts w:ascii="仿宋_GB2312" w:hAnsi="仿宋_GB2312" w:cs="仿宋_GB2312" w:eastAsia="仿宋_GB2312"/>
              </w:rPr>
              <w:t>（</w:t>
            </w:r>
            <w:r>
              <w:rPr>
                <w:rFonts w:ascii="仿宋_GB2312" w:hAnsi="仿宋_GB2312" w:cs="仿宋_GB2312" w:eastAsia="仿宋_GB2312"/>
              </w:rPr>
              <w:t>7）车辆保险齐全（包括交强险、第三者责任险及座位险等），车内乘客险每座赔付金额不低于行业标准，车辆需符合国家规定的安全环保等要求。</w:t>
            </w:r>
          </w:p>
          <w:p>
            <w:pPr>
              <w:pStyle w:val="null3"/>
              <w:ind w:firstLine="400"/>
            </w:pPr>
            <w:r>
              <w:rPr>
                <w:rFonts w:ascii="仿宋_GB2312" w:hAnsi="仿宋_GB2312" w:cs="仿宋_GB2312" w:eastAsia="仿宋_GB2312"/>
              </w:rPr>
              <w:t>（</w:t>
            </w:r>
            <w:r>
              <w:rPr>
                <w:rFonts w:ascii="仿宋_GB2312" w:hAnsi="仿宋_GB2312" w:cs="仿宋_GB2312" w:eastAsia="仿宋_GB2312"/>
              </w:rPr>
              <w:t>8）服务期内，供应商必须确保在约定的时间内提供足够的车辆及人员为采购方提供服务，不得频繁变更人员，人员的年变动率不得高于20%。车辆在使用期间如确需维修、保养或季审、年审、接受定期检审及其它经采购方认可的合理因素而造成需要暂停运行时，供应商必须调派同等条件的车辆和驾驶人员供采购方使用及服务。同时须书面通知采购方。</w:t>
            </w:r>
          </w:p>
          <w:p>
            <w:pPr>
              <w:pStyle w:val="null3"/>
              <w:ind w:firstLine="400"/>
            </w:pPr>
            <w:r>
              <w:rPr>
                <w:rFonts w:ascii="仿宋_GB2312" w:hAnsi="仿宋_GB2312" w:cs="仿宋_GB2312" w:eastAsia="仿宋_GB2312"/>
              </w:rPr>
              <w:t>（</w:t>
            </w:r>
            <w:r>
              <w:rPr>
                <w:rFonts w:ascii="仿宋_GB2312" w:hAnsi="仿宋_GB2312" w:cs="仿宋_GB2312" w:eastAsia="仿宋_GB2312"/>
              </w:rPr>
              <w:t>9）如因供应商原因，不能在约定的时间内提供服务的，采购方有权向供应商发出整改通知，违反三次，有权终止供应商的服务资格。</w:t>
            </w:r>
          </w:p>
          <w:p>
            <w:pPr>
              <w:pStyle w:val="null3"/>
              <w:ind w:firstLine="400"/>
            </w:pPr>
            <w:r>
              <w:rPr>
                <w:rFonts w:ascii="仿宋_GB2312" w:hAnsi="仿宋_GB2312" w:cs="仿宋_GB2312" w:eastAsia="仿宋_GB2312"/>
              </w:rPr>
              <w:t>（</w:t>
            </w:r>
            <w:r>
              <w:rPr>
                <w:rFonts w:ascii="仿宋_GB2312" w:hAnsi="仿宋_GB2312" w:cs="仿宋_GB2312" w:eastAsia="仿宋_GB2312"/>
              </w:rPr>
              <w:t>10）如供应商为采购方提供服务的车辆无法满足采购方的要求，应无条件为采购方更换。</w:t>
            </w:r>
          </w:p>
          <w:p>
            <w:pPr>
              <w:pStyle w:val="null3"/>
              <w:ind w:firstLine="400"/>
            </w:pPr>
            <w:r>
              <w:rPr>
                <w:rFonts w:ascii="仿宋_GB2312" w:hAnsi="仿宋_GB2312" w:cs="仿宋_GB2312" w:eastAsia="仿宋_GB2312"/>
              </w:rPr>
              <w:t>（</w:t>
            </w:r>
            <w:r>
              <w:rPr>
                <w:rFonts w:ascii="仿宋_GB2312" w:hAnsi="仿宋_GB2312" w:cs="仿宋_GB2312" w:eastAsia="仿宋_GB2312"/>
              </w:rPr>
              <w:t>11）成交供应商未征得采购人同意和谅解而单方面延迟服务，将按违约终止合同。成交供应商遇到可能妨碍按时服务和提供服务的情况，应当及时以书面形式通知采购人，说明原由、拖延的期限等；采购人在收到通知后，尽快进行情况评估并确定是否修改合同。</w:t>
            </w:r>
          </w:p>
          <w:p>
            <w:pPr>
              <w:pStyle w:val="null3"/>
              <w:ind w:firstLine="400"/>
            </w:pPr>
            <w:r>
              <w:rPr>
                <w:rFonts w:ascii="仿宋_GB2312" w:hAnsi="仿宋_GB2312" w:cs="仿宋_GB2312" w:eastAsia="仿宋_GB2312"/>
              </w:rPr>
              <w:t>（</w:t>
            </w:r>
            <w:r>
              <w:rPr>
                <w:rFonts w:ascii="仿宋_GB2312" w:hAnsi="仿宋_GB2312" w:cs="仿宋_GB2312" w:eastAsia="仿宋_GB2312"/>
              </w:rPr>
              <w:t>12）采购方有权要求供应商在服务期限内按规定的时间及路线提供服务。如需临时更改线路、增加用车或学校大型活动用车，采购方有权要求供应商积极配合。</w:t>
            </w:r>
          </w:p>
          <w:p>
            <w:pPr>
              <w:pStyle w:val="null3"/>
              <w:ind w:firstLine="200"/>
            </w:pP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13）供应商在采购方指定地点建立智能候车厅。规格尺寸为：长8000mm*1500mm宽*2950mm；材质为镀锌方管、镀锌钢板、钢化玻璃等；配备功能：灯箱内部照明、太阳能供电系统、智能座椅（USB接口，配有无线充电功能）；包括运输及安装费用。</w:t>
            </w:r>
          </w:p>
          <w:p>
            <w:pPr>
              <w:pStyle w:val="null3"/>
              <w:ind w:firstLine="400"/>
            </w:pPr>
            <w:r>
              <w:rPr>
                <w:rFonts w:ascii="仿宋_GB2312" w:hAnsi="仿宋_GB2312" w:cs="仿宋_GB2312" w:eastAsia="仿宋_GB2312"/>
              </w:rPr>
              <w:t>（二）车辆要求</w:t>
            </w:r>
          </w:p>
          <w:p>
            <w:pPr>
              <w:pStyle w:val="null3"/>
              <w:ind w:firstLine="400"/>
            </w:pPr>
            <w:r>
              <w:rPr>
                <w:rFonts w:ascii="仿宋_GB2312" w:hAnsi="仿宋_GB2312" w:cs="仿宋_GB2312" w:eastAsia="仿宋_GB2312"/>
              </w:rPr>
              <w:t>★（1）供应商提供符合国家道路运输管理要求的自有产权车辆投入采购方通勤车运行，保证所使用的车辆的所有权属于供应商。</w:t>
            </w:r>
          </w:p>
          <w:p>
            <w:pPr>
              <w:pStyle w:val="null3"/>
              <w:ind w:firstLine="400"/>
            </w:pPr>
            <w:r>
              <w:rPr>
                <w:rFonts w:ascii="仿宋_GB2312" w:hAnsi="仿宋_GB2312" w:cs="仿宋_GB2312" w:eastAsia="仿宋_GB2312"/>
              </w:rPr>
              <w:t>（</w:t>
            </w:r>
            <w:r>
              <w:rPr>
                <w:rFonts w:ascii="仿宋_GB2312" w:hAnsi="仿宋_GB2312" w:cs="仿宋_GB2312" w:eastAsia="仿宋_GB2312"/>
              </w:rPr>
              <w:t>2）保证所有车辆配备 GPS 全球卫星定位系统、空调以及为司机配备蓝牙无线耳机，要求车辆性能良好，乘坐舒适安全。</w:t>
            </w:r>
          </w:p>
          <w:p>
            <w:pPr>
              <w:pStyle w:val="null3"/>
              <w:ind w:firstLine="400"/>
            </w:pPr>
            <w:r>
              <w:rPr>
                <w:rFonts w:ascii="仿宋_GB2312" w:hAnsi="仿宋_GB2312" w:cs="仿宋_GB2312" w:eastAsia="仿宋_GB2312"/>
              </w:rPr>
              <w:t>（</w:t>
            </w:r>
            <w:r>
              <w:rPr>
                <w:rFonts w:ascii="仿宋_GB2312" w:hAnsi="仿宋_GB2312" w:cs="仿宋_GB2312" w:eastAsia="仿宋_GB2312"/>
              </w:rPr>
              <w:t>3）采购人认可，采购人有权在车辆安装车载 P0S 机，为实现校园一卡通刷卡乘车及乘车数据统计，采取相应措施提高车辆利用率。</w:t>
            </w:r>
          </w:p>
          <w:p>
            <w:pPr>
              <w:pStyle w:val="null3"/>
              <w:ind w:firstLine="210"/>
              <w:jc w:val="left"/>
            </w:pPr>
            <w:r>
              <w:rPr>
                <w:rFonts w:ascii="仿宋_GB2312" w:hAnsi="仿宋_GB2312" w:cs="仿宋_GB2312" w:eastAsia="仿宋_GB2312"/>
                <w:sz w:val="21"/>
              </w:rPr>
              <w:t>★（4）提供车辆车型统一、颜色一致的合法高一级及以上车辆（50座</w:t>
            </w:r>
            <w:r>
              <w:rPr>
                <w:rFonts w:ascii="仿宋_GB2312" w:hAnsi="仿宋_GB2312" w:cs="仿宋_GB2312" w:eastAsia="仿宋_GB2312"/>
                <w:sz w:val="21"/>
              </w:rPr>
              <w:t>及</w:t>
            </w:r>
            <w:r>
              <w:rPr>
                <w:rFonts w:ascii="仿宋_GB2312" w:hAnsi="仿宋_GB2312" w:cs="仿宋_GB2312" w:eastAsia="仿宋_GB2312"/>
                <w:sz w:val="21"/>
              </w:rPr>
              <w:t>以上）</w:t>
            </w:r>
            <w:r>
              <w:rPr>
                <w:rFonts w:ascii="仿宋_GB2312" w:hAnsi="仿宋_GB2312" w:cs="仿宋_GB2312" w:eastAsia="仿宋_GB2312"/>
                <w:sz w:val="21"/>
              </w:rPr>
              <w:t>15</w:t>
            </w:r>
            <w:r>
              <w:rPr>
                <w:rFonts w:ascii="仿宋_GB2312" w:hAnsi="仿宋_GB2312" w:cs="仿宋_GB2312" w:eastAsia="仿宋_GB2312"/>
                <w:sz w:val="21"/>
              </w:rPr>
              <w:t>台</w:t>
            </w:r>
            <w:r>
              <w:rPr>
                <w:rFonts w:ascii="仿宋_GB2312" w:hAnsi="仿宋_GB2312" w:cs="仿宋_GB2312" w:eastAsia="仿宋_GB2312"/>
                <w:sz w:val="21"/>
              </w:rPr>
              <w:t>及</w:t>
            </w:r>
            <w:r>
              <w:rPr>
                <w:rFonts w:ascii="仿宋_GB2312" w:hAnsi="仿宋_GB2312" w:cs="仿宋_GB2312" w:eastAsia="仿宋_GB2312"/>
                <w:sz w:val="21"/>
              </w:rPr>
              <w:t>以上</w:t>
            </w:r>
            <w:r>
              <w:rPr>
                <w:rFonts w:ascii="仿宋_GB2312" w:hAnsi="仿宋_GB2312" w:cs="仿宋_GB2312" w:eastAsia="仿宋_GB2312"/>
                <w:sz w:val="21"/>
              </w:rPr>
              <w:t>，</w:t>
            </w:r>
            <w:r>
              <w:rPr>
                <w:rFonts w:ascii="仿宋_GB2312" w:hAnsi="仿宋_GB2312" w:cs="仿宋_GB2312" w:eastAsia="仿宋_GB2312"/>
                <w:sz w:val="21"/>
              </w:rPr>
              <w:t>满足以下要求：</w:t>
            </w:r>
          </w:p>
          <w:p>
            <w:pPr>
              <w:pStyle w:val="null3"/>
              <w:ind w:firstLine="400"/>
            </w:pPr>
            <w:r>
              <w:rPr>
                <w:rFonts w:ascii="仿宋_GB2312" w:hAnsi="仿宋_GB2312" w:cs="仿宋_GB2312" w:eastAsia="仿宋_GB2312"/>
              </w:rPr>
              <w:t>（</w:t>
            </w:r>
            <w:r>
              <w:rPr>
                <w:rFonts w:ascii="仿宋_GB2312" w:hAnsi="仿宋_GB2312" w:cs="仿宋_GB2312" w:eastAsia="仿宋_GB2312"/>
              </w:rPr>
              <w:t>1）车辆类型等级不低于高一级，燃油车自出厂之日起</w:t>
            </w:r>
            <w:r>
              <w:rPr>
                <w:rFonts w:ascii="仿宋_GB2312" w:hAnsi="仿宋_GB2312" w:cs="仿宋_GB2312" w:eastAsia="仿宋_GB2312"/>
              </w:rPr>
              <w:t>4</w:t>
            </w:r>
            <w:r>
              <w:rPr>
                <w:rFonts w:ascii="仿宋_GB2312" w:hAnsi="仿宋_GB2312" w:cs="仿宋_GB2312" w:eastAsia="仿宋_GB2312"/>
              </w:rPr>
              <w:t>年以内；（</w:t>
            </w:r>
            <w:r>
              <w:rPr>
                <w:rFonts w:ascii="仿宋_GB2312" w:hAnsi="仿宋_GB2312" w:cs="仿宋_GB2312" w:eastAsia="仿宋_GB2312"/>
              </w:rPr>
              <w:t>2）燃油车辆运营的牌证齐全有效（行驶证、车辆道路运输证、车证对应）；（3）车辆需符合国家规定的安全环保等要求。</w:t>
            </w:r>
          </w:p>
          <w:p>
            <w:pPr>
              <w:pStyle w:val="null3"/>
              <w:ind w:firstLine="400"/>
            </w:pPr>
            <w:r>
              <w:rPr>
                <w:rFonts w:ascii="仿宋_GB2312" w:hAnsi="仿宋_GB2312" w:cs="仿宋_GB2312" w:eastAsia="仿宋_GB2312"/>
              </w:rPr>
              <w:t>（</w:t>
            </w:r>
            <w:r>
              <w:rPr>
                <w:rFonts w:ascii="仿宋_GB2312" w:hAnsi="仿宋_GB2312" w:cs="仿宋_GB2312" w:eastAsia="仿宋_GB2312"/>
              </w:rPr>
              <w:t>5）除为学校提供的通勤班车外，另需有不低于45座的客车50辆作为备用，</w:t>
            </w:r>
            <w:r>
              <w:rPr>
                <w:rFonts w:ascii="仿宋_GB2312" w:hAnsi="仿宋_GB2312" w:cs="仿宋_GB2312" w:eastAsia="仿宋_GB2312"/>
              </w:rPr>
              <w:t>（可以与本次拟投入车辆重复）</w:t>
            </w:r>
            <w:r>
              <w:rPr>
                <w:rFonts w:ascii="仿宋_GB2312" w:hAnsi="仿宋_GB2312" w:cs="仿宋_GB2312" w:eastAsia="仿宋_GB2312"/>
              </w:rPr>
              <w:t>随时满足采购方用车需求。车辆应满足以下要求：</w:t>
            </w:r>
            <w:r>
              <w:rPr>
                <w:rFonts w:ascii="仿宋_GB2312" w:hAnsi="仿宋_GB2312" w:cs="仿宋_GB2312" w:eastAsia="仿宋_GB2312"/>
              </w:rPr>
              <w:t>A.所提供车辆不低于高一级配置；B.燃油车自出厂之日起5年以内或行驶里程不超过15万公里的车辆；C.车辆行驶和运营的牌证齐全有效（行驶证、道路运输证、车辆运营证、运管部门出具的运行手续等，车证对应）;D.车辆符合国家规定的安全环保等要求。</w:t>
            </w:r>
          </w:p>
          <w:p>
            <w:pPr>
              <w:pStyle w:val="null3"/>
              <w:ind w:firstLine="400"/>
            </w:pPr>
            <w:r>
              <w:rPr>
                <w:rFonts w:ascii="仿宋_GB2312" w:hAnsi="仿宋_GB2312" w:cs="仿宋_GB2312" w:eastAsia="仿宋_GB2312"/>
              </w:rPr>
              <w:t>（</w:t>
            </w:r>
            <w:r>
              <w:rPr>
                <w:rFonts w:ascii="仿宋_GB2312" w:hAnsi="仿宋_GB2312" w:cs="仿宋_GB2312" w:eastAsia="仿宋_GB2312"/>
              </w:rPr>
              <w:t>6）提供的车辆需办理好该车正常行驶所需的各种证件，配备灭火器及警示性标志牌。车厢内外需整洁卫生、定期对车厢进行消毒（根据采购方需要）；需配备便于拆洗方便的座套，并定期更换；车厢内应配备小药箱。</w:t>
            </w:r>
          </w:p>
          <w:p>
            <w:pPr>
              <w:pStyle w:val="null3"/>
              <w:ind w:firstLine="400"/>
            </w:pPr>
            <w:r>
              <w:rPr>
                <w:rFonts w:ascii="仿宋_GB2312" w:hAnsi="仿宋_GB2312" w:cs="仿宋_GB2312" w:eastAsia="仿宋_GB2312"/>
              </w:rPr>
              <w:t>（</w:t>
            </w:r>
            <w:r>
              <w:rPr>
                <w:rFonts w:ascii="仿宋_GB2312" w:hAnsi="仿宋_GB2312" w:cs="仿宋_GB2312" w:eastAsia="仿宋_GB2312"/>
              </w:rPr>
              <w:t>7）提供车辆应统一车型统一颜色，投标时必须提供拟投入服务车辆的最新彩色照片及行驶证复印件，提供服务的车辆必须是核定有固定座位的车辆。</w:t>
            </w:r>
          </w:p>
          <w:p>
            <w:pPr>
              <w:pStyle w:val="null3"/>
              <w:ind w:firstLine="400"/>
            </w:pPr>
            <w:r>
              <w:rPr>
                <w:rFonts w:ascii="仿宋_GB2312" w:hAnsi="仿宋_GB2312" w:cs="仿宋_GB2312" w:eastAsia="仿宋_GB2312"/>
              </w:rPr>
              <w:t>（</w:t>
            </w:r>
            <w:r>
              <w:rPr>
                <w:rFonts w:ascii="仿宋_GB2312" w:hAnsi="仿宋_GB2312" w:cs="仿宋_GB2312" w:eastAsia="仿宋_GB2312"/>
              </w:rPr>
              <w:t>8）坚持车辆等级评定，车辆技术状况符合要求。认真执行“三检”（出车前、行驶中、收车后）制度，做好车辆例行保养工作，遵守交通法规，安全运行。</w:t>
            </w:r>
          </w:p>
          <w:p>
            <w:pPr>
              <w:pStyle w:val="null3"/>
              <w:ind w:firstLine="400"/>
            </w:pPr>
            <w:r>
              <w:rPr>
                <w:rFonts w:ascii="仿宋_GB2312" w:hAnsi="仿宋_GB2312" w:cs="仿宋_GB2312" w:eastAsia="仿宋_GB2312"/>
              </w:rPr>
              <w:t>（</w:t>
            </w:r>
            <w:r>
              <w:rPr>
                <w:rFonts w:ascii="仿宋_GB2312" w:hAnsi="仿宋_GB2312" w:cs="仿宋_GB2312" w:eastAsia="仿宋_GB2312"/>
              </w:rPr>
              <w:t>9）车辆做到准时到达接送地点；协助采购方代表落实租用车辆的各项计划，保证采购方的正常用车。遇车辆中途出现故障，不能及时修复，应迅速另派车辆接送职工，并不得额外加收费用。</w:t>
            </w:r>
          </w:p>
          <w:p>
            <w:pPr>
              <w:pStyle w:val="null3"/>
              <w:ind w:firstLine="400"/>
            </w:pPr>
            <w:r>
              <w:rPr>
                <w:rFonts w:ascii="仿宋_GB2312" w:hAnsi="仿宋_GB2312" w:cs="仿宋_GB2312" w:eastAsia="仿宋_GB2312"/>
              </w:rPr>
              <w:t>（三）驾驶员要求</w:t>
            </w:r>
          </w:p>
          <w:p>
            <w:pPr>
              <w:pStyle w:val="null3"/>
              <w:ind w:firstLine="400"/>
            </w:pPr>
            <w:r>
              <w:rPr>
                <w:rFonts w:ascii="仿宋_GB2312" w:hAnsi="仿宋_GB2312" w:cs="仿宋_GB2312" w:eastAsia="仿宋_GB2312"/>
              </w:rPr>
              <w:t>（</w:t>
            </w:r>
            <w:r>
              <w:rPr>
                <w:rFonts w:ascii="仿宋_GB2312" w:hAnsi="仿宋_GB2312" w:cs="仿宋_GB2312" w:eastAsia="仿宋_GB2312"/>
              </w:rPr>
              <w:t>1）驾驶员不少于</w:t>
            </w:r>
            <w:r>
              <w:rPr>
                <w:rFonts w:ascii="仿宋_GB2312" w:hAnsi="仿宋_GB2312" w:cs="仿宋_GB2312" w:eastAsia="仿宋_GB2312"/>
              </w:rPr>
              <w:t>15</w:t>
            </w:r>
            <w:r>
              <w:rPr>
                <w:rFonts w:ascii="仿宋_GB2312" w:hAnsi="仿宋_GB2312" w:cs="仿宋_GB2312" w:eastAsia="仿宋_GB2312"/>
              </w:rPr>
              <w:t>名，年龄不超过</w:t>
            </w:r>
            <w:r>
              <w:rPr>
                <w:rFonts w:ascii="仿宋_GB2312" w:hAnsi="仿宋_GB2312" w:cs="仿宋_GB2312" w:eastAsia="仿宋_GB2312"/>
              </w:rPr>
              <w:t>55周岁，具有10年以上投标相应车型驾驶经验，三年内无重大交通责任事故记录。</w:t>
            </w:r>
          </w:p>
          <w:p>
            <w:pPr>
              <w:pStyle w:val="null3"/>
              <w:ind w:firstLine="400"/>
            </w:pPr>
            <w:r>
              <w:rPr>
                <w:rFonts w:ascii="仿宋_GB2312" w:hAnsi="仿宋_GB2312" w:cs="仿宋_GB2312" w:eastAsia="仿宋_GB2312"/>
              </w:rPr>
              <w:t>（</w:t>
            </w:r>
            <w:r>
              <w:rPr>
                <w:rFonts w:ascii="仿宋_GB2312" w:hAnsi="仿宋_GB2312" w:cs="仿宋_GB2312" w:eastAsia="仿宋_GB2312"/>
              </w:rPr>
              <w:t>2）驾驶员必须持有道路旅客运输从业资格证及相应驾驶证，需提供驾驶员的驾驶证复印件（加盖公章）等证明资料。成交供应商需向采购人出具所派驾驶员无犯罪记录，无吸毒史，身体、精神状况良好（需提供一年内体检报告）的承诺书。</w:t>
            </w:r>
          </w:p>
          <w:p>
            <w:pPr>
              <w:pStyle w:val="null3"/>
              <w:ind w:firstLine="400"/>
            </w:pPr>
            <w:r>
              <w:rPr>
                <w:rFonts w:ascii="仿宋_GB2312" w:hAnsi="仿宋_GB2312" w:cs="仿宋_GB2312" w:eastAsia="仿宋_GB2312"/>
              </w:rPr>
              <w:t>（</w:t>
            </w:r>
            <w:r>
              <w:rPr>
                <w:rFonts w:ascii="仿宋_GB2312" w:hAnsi="仿宋_GB2312" w:cs="仿宋_GB2312" w:eastAsia="仿宋_GB2312"/>
              </w:rPr>
              <w:t>3）驾驶员出车时应着装统一，保持良好精神状态，遵守采购方规章制度，礼貌对待乘客，保证按时到位，车容整洁，安全平稳行车，服从采购方的合理安排，并在主要行车线路上按采购方所要求上下车地点接送乘客（违反交通规则的地点除外），如有违反，采购方有权要求更换驾驶员。</w:t>
            </w:r>
          </w:p>
          <w:p>
            <w:pPr>
              <w:pStyle w:val="null3"/>
              <w:ind w:firstLine="400"/>
            </w:pPr>
            <w:r>
              <w:rPr>
                <w:rFonts w:ascii="仿宋_GB2312" w:hAnsi="仿宋_GB2312" w:cs="仿宋_GB2312" w:eastAsia="仿宋_GB2312"/>
              </w:rPr>
              <w:t>（</w:t>
            </w:r>
            <w:r>
              <w:rPr>
                <w:rFonts w:ascii="仿宋_GB2312" w:hAnsi="仿宋_GB2312" w:cs="仿宋_GB2312" w:eastAsia="仿宋_GB2312"/>
              </w:rPr>
              <w:t>4）驾驶员的条件：具有较好的读听写语言能力，身体健康，无传染病，并在上岗前提供上岗员工的体检报告。熟悉西安市道路，遵纪守法、品行良好。</w:t>
            </w:r>
          </w:p>
          <w:p>
            <w:pPr>
              <w:pStyle w:val="null3"/>
              <w:ind w:firstLine="400"/>
            </w:pPr>
            <w:r>
              <w:rPr>
                <w:rFonts w:ascii="仿宋_GB2312" w:hAnsi="仿宋_GB2312" w:cs="仿宋_GB2312" w:eastAsia="仿宋_GB2312"/>
              </w:rPr>
              <w:t>（</w:t>
            </w:r>
            <w:r>
              <w:rPr>
                <w:rFonts w:ascii="仿宋_GB2312" w:hAnsi="仿宋_GB2312" w:cs="仿宋_GB2312" w:eastAsia="仿宋_GB2312"/>
              </w:rPr>
              <w:t>5）供应商应加强管理，定期进行驾驶员思想品德教育和业务技能培训及考核。上岗驾驶员必须经过专业培训，培训的内容包括礼仪、仪容仪表、沟通技巧、主动服务意识及责任意识。</w:t>
            </w:r>
          </w:p>
          <w:p>
            <w:pPr>
              <w:pStyle w:val="null3"/>
              <w:ind w:firstLine="400"/>
            </w:pPr>
            <w:r>
              <w:rPr>
                <w:rFonts w:ascii="仿宋_GB2312" w:hAnsi="仿宋_GB2312" w:cs="仿宋_GB2312" w:eastAsia="仿宋_GB2312"/>
              </w:rPr>
              <w:t>（</w:t>
            </w:r>
            <w:r>
              <w:rPr>
                <w:rFonts w:ascii="仿宋_GB2312" w:hAnsi="仿宋_GB2312" w:cs="仿宋_GB2312" w:eastAsia="仿宋_GB2312"/>
              </w:rPr>
              <w:t>6）驾驶人员须严格遵守交通法则及操作规范，不得带病开车、赌气开车及疲劳驾驶、酒后驾车；因违反交通法则而导致的一切后果均由供应商自行负责，如造成采购方任何损失，供应商须赔偿采购方全部损失。</w:t>
            </w:r>
          </w:p>
          <w:p>
            <w:pPr>
              <w:pStyle w:val="null3"/>
              <w:ind w:firstLine="400"/>
            </w:pPr>
            <w:r>
              <w:rPr>
                <w:rFonts w:ascii="仿宋_GB2312" w:hAnsi="仿宋_GB2312" w:cs="仿宋_GB2312" w:eastAsia="仿宋_GB2312"/>
              </w:rPr>
              <w:t>（</w:t>
            </w:r>
            <w:r>
              <w:rPr>
                <w:rFonts w:ascii="仿宋_GB2312" w:hAnsi="仿宋_GB2312" w:cs="仿宋_GB2312" w:eastAsia="仿宋_GB2312"/>
              </w:rPr>
              <w:t>7）驾驶人员应严格遵守《西安科技大学通勤班车外租车辆驾驶员管理办法》相关规定，如有违反，将按照《西安科技大学通勤班车外租车辆合作单位管理办法》进行相应处罚。</w:t>
            </w:r>
          </w:p>
          <w:p>
            <w:pPr>
              <w:pStyle w:val="null3"/>
              <w:jc w:val="both"/>
            </w:pPr>
            <w:r>
              <w:rPr>
                <w:rFonts w:ascii="仿宋_GB2312" w:hAnsi="仿宋_GB2312" w:cs="仿宋_GB2312" w:eastAsia="仿宋_GB2312"/>
                <w:sz w:val="22"/>
                <w:b/>
              </w:rPr>
              <w:t xml:space="preserve">  注：</w:t>
            </w:r>
            <w:r>
              <w:rPr>
                <w:rFonts w:ascii="仿宋_GB2312" w:hAnsi="仿宋_GB2312" w:cs="仿宋_GB2312" w:eastAsia="仿宋_GB2312"/>
                <w:sz w:val="22"/>
                <w:b/>
              </w:rPr>
              <w:t>“★”号参数</w:t>
            </w:r>
            <w:r>
              <w:rPr>
                <w:rFonts w:ascii="仿宋_GB2312" w:hAnsi="仿宋_GB2312" w:cs="仿宋_GB2312" w:eastAsia="仿宋_GB2312"/>
                <w:sz w:val="22"/>
                <w:b/>
              </w:rPr>
              <w:t>不允许负偏离，</w:t>
            </w:r>
            <w:r>
              <w:rPr>
                <w:rFonts w:ascii="仿宋_GB2312" w:hAnsi="仿宋_GB2312" w:cs="仿宋_GB2312" w:eastAsia="仿宋_GB2312"/>
                <w:sz w:val="22"/>
                <w:b/>
              </w:rPr>
              <w:t>并</w:t>
            </w:r>
            <w:r>
              <w:rPr>
                <w:rFonts w:ascii="仿宋_GB2312" w:hAnsi="仿宋_GB2312" w:cs="仿宋_GB2312" w:eastAsia="仿宋_GB2312"/>
                <w:sz w:val="22"/>
                <w:b/>
              </w:rPr>
              <w:t>提供</w:t>
            </w:r>
            <w:r>
              <w:rPr>
                <w:rFonts w:ascii="仿宋_GB2312" w:hAnsi="仿宋_GB2312" w:cs="仿宋_GB2312" w:eastAsia="仿宋_GB2312"/>
                <w:sz w:val="22"/>
                <w:b/>
              </w:rPr>
              <w:t>佐证</w:t>
            </w:r>
            <w:r>
              <w:rPr>
                <w:rFonts w:ascii="仿宋_GB2312" w:hAnsi="仿宋_GB2312" w:cs="仿宋_GB2312" w:eastAsia="仿宋_GB2312"/>
                <w:sz w:val="22"/>
                <w:b/>
              </w:rPr>
              <w:t>材料，</w:t>
            </w:r>
            <w:r>
              <w:rPr>
                <w:rFonts w:ascii="仿宋_GB2312" w:hAnsi="仿宋_GB2312" w:cs="仿宋_GB2312" w:eastAsia="仿宋_GB2312"/>
                <w:sz w:val="22"/>
                <w:b/>
              </w:rPr>
              <w:t>有一项</w:t>
            </w:r>
            <w:r>
              <w:rPr>
                <w:rFonts w:ascii="仿宋_GB2312" w:hAnsi="仿宋_GB2312" w:cs="仿宋_GB2312" w:eastAsia="仿宋_GB2312"/>
                <w:sz w:val="22"/>
                <w:b/>
              </w:rPr>
              <w:t>未提供的或提供的证明材料低于</w:t>
            </w:r>
            <w:r>
              <w:rPr>
                <w:rFonts w:ascii="仿宋_GB2312" w:hAnsi="仿宋_GB2312" w:cs="仿宋_GB2312" w:eastAsia="仿宋_GB2312"/>
                <w:sz w:val="22"/>
                <w:b/>
              </w:rPr>
              <w:t>采购</w:t>
            </w:r>
            <w:r>
              <w:rPr>
                <w:rFonts w:ascii="仿宋_GB2312" w:hAnsi="仿宋_GB2312" w:cs="仿宋_GB2312" w:eastAsia="仿宋_GB2312"/>
                <w:sz w:val="22"/>
                <w:b/>
              </w:rPr>
              <w:t>文件规定的相应</w:t>
            </w:r>
            <w:r>
              <w:rPr>
                <w:rFonts w:ascii="仿宋_GB2312" w:hAnsi="仿宋_GB2312" w:cs="仿宋_GB2312" w:eastAsia="仿宋_GB2312"/>
                <w:sz w:val="22"/>
                <w:b/>
              </w:rPr>
              <w:t>参数要求的，</w:t>
            </w:r>
            <w:r>
              <w:rPr>
                <w:rFonts w:ascii="仿宋_GB2312" w:hAnsi="仿宋_GB2312" w:cs="仿宋_GB2312" w:eastAsia="仿宋_GB2312"/>
                <w:sz w:val="22"/>
                <w:b/>
              </w:rPr>
              <w:t>按无效投标处理。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服务期:1年（2025年7月20日至2026年7月19日），以服务期为单位，服务期间甲方满意乙方的服务，可续签合同，但续签最多不得超过两个服务期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按次结算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支付约定补充条款：1.结算单位：采购人结算，在付款前供货商必须开具全额增值税普通发票给采购人，税费自理。 2.付款方式：每个月以实际产生的圈次进行结算，每月结算一次。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非法定代表人参加磋商的，须提供法定代表人委托授权书和被授权人身份证，法定代表人参加投标时,只需提供法定代表人身份证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道路运输经营许可证</w:t>
            </w:r>
          </w:p>
        </w:tc>
        <w:tc>
          <w:tcPr>
            <w:tcW w:type="dxa" w:w="3322"/>
          </w:tcPr>
          <w:p>
            <w:pPr>
              <w:pStyle w:val="null3"/>
            </w:pPr>
            <w:r>
              <w:rPr>
                <w:rFonts w:ascii="仿宋_GB2312" w:hAnsi="仿宋_GB2312" w:cs="仿宋_GB2312" w:eastAsia="仿宋_GB2312"/>
              </w:rPr>
              <w:t>提供交通管理部门核发有效的《道路运输经营许可证》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服务期限满足竞争性磋商文件最低要求(合格)，服务期限不满足竞争性 磋商文件最低要求(不合格)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分项报价表.docx 供应商资格要求.docx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 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服务内容及服务邀请应答表 商务应答表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服务内容与要求</w:t>
            </w:r>
          </w:p>
        </w:tc>
        <w:tc>
          <w:tcPr>
            <w:tcW w:type="dxa" w:w="2492"/>
          </w:tcPr>
          <w:p>
            <w:pPr>
              <w:pStyle w:val="null3"/>
            </w:pPr>
            <w:r>
              <w:rPr>
                <w:rFonts w:ascii="仿宋_GB2312" w:hAnsi="仿宋_GB2312" w:cs="仿宋_GB2312" w:eastAsia="仿宋_GB2312"/>
              </w:rPr>
              <w:t>供应商完全响应采购文件服务内容和要求得20分，参数每负偏离一项扣1分，扣完为止。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针对本项目的整体服务方案 ，内容包含：①总体服务方案；②安全教育制度；③行车礼仪培训制度；④安全检查与隐患治理措施；⑤车辆配套设施；⑥"三检"(出车前、行驶中、收车后)制度。从方案全面性、科学合理性、可操作性等方面综合评价，每项内容最高得4分，未提供不得分，满分24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的人员配备方案，包含①人员配备清单；②岗位分工；③配备合法驾驶员④人员管理制度。从方案全面性、科学合理性、可操作性等方面综合评价，每项内容最高得3分，未提供不得分，满分12分。 （注：以上人员均须提供配备人员体检报告、身份证、驾驶证、社保或劳动合同复印件等,不提供不得分）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车辆情况</w:t>
            </w:r>
          </w:p>
        </w:tc>
        <w:tc>
          <w:tcPr>
            <w:tcW w:type="dxa" w:w="2492"/>
          </w:tcPr>
          <w:p>
            <w:pPr>
              <w:pStyle w:val="null3"/>
            </w:pPr>
            <w:r>
              <w:rPr>
                <w:rFonts w:ascii="仿宋_GB2312" w:hAnsi="仿宋_GB2312" w:cs="仿宋_GB2312" w:eastAsia="仿宋_GB2312"/>
              </w:rPr>
              <w:t>供应商针对本项目的车辆配备情况，包含①拟投入车辆型号；②车辆保险相关资料（包括但不限于：交强险、第三者责任险）；③车辆配备GPS全球卫星定位系统、空调；④车辆管理制度。从方案全面性、科学合理性、可操作性等方面综合评价，每项内容最高得3分，未提供不得分，满分12分。 （注：以上车辆均须提供车辆行驶证、使用年限证明、车内监控、后台管理系统、车辆实物照片、车辆产权证明等,不提供不得分）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车辆情况.docx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应急措施保障，内容包含①恶劣天气应急预案；②应急处理响应时间；③驾驶员应急人数及人员安排；④突发事件(包括但不限于堵车、交通事故等)应急方案。从方案全面性、科学合理性、可操作性等方面综合评价， 每项内容最高得3分，未提供不得分，满分12分。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评审专家根据供应商提供的2022年1月1日至今同类业绩（以合同签订日期为准，仅限供应商本身，提供合同复印件加盖公章）进行评定，每份计1分，最高计5分。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 评审基准价：即满足竞争性磋商文件要求且最终响应报价最低的报价为评审基准价。 其他供应商的价格分统一按照下列公式计算。 响应报价计分=(评审基准价／最终响应报价)×15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详见附件：车辆情况.docx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