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版本号：WSQ-2025-29620250509001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高刘村城市更新考古勘探劳务协作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WSQ-2025-296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高刘村城市更新考古勘探劳务协作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WSQ-2025-296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高刘村城市更新考古勘探劳务协作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高刘村城市更新考古勘探劳务协作，共分为两个包，具体内容详见磋商文件第三章。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采购包1（高刘村城市更新（一）考古勘探劳务协作）：属于专门面向中小企业采购。</w:t>
      </w:r>
    </w:p>
    <w:p>
      <w:pPr>
        <w:pStyle w:val="null3"/>
      </w:pPr>
      <w:r>
        <w:rPr>
          <w:rFonts w:ascii="仿宋_GB2312" w:hAnsi="仿宋_GB2312" w:cs="仿宋_GB2312" w:eastAsia="仿宋_GB2312"/>
        </w:rPr>
        <w:t>采购包2（高刘村城市更新（二）考古勘探劳务协作）：属于专门面向中小企业采购。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陕西省西安市雁塔区陕西省西安市雁塔区富裕一路以北紫薇西棠3幢1单元10202室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采购包1：1,332,076.27元</w:t>
            </w:r>
          </w:p>
          <w:p>
            <w:pPr>
              <w:pStyle w:val="null3"/>
            </w:pPr>
            <w:r>
              <w:rPr>
                <w:rFonts w:ascii="仿宋_GB2312" w:hAnsi="仿宋_GB2312" w:cs="仿宋_GB2312" w:eastAsia="仿宋_GB2312"/>
              </w:rPr>
              <w:t>采购包2：1,332,076.27元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地址：陕西省西安市高新区沣惠南路34号摩尔中心A座16层11601号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本项目位于西安市泾渭新城高永路北侧、延长西侧、地通东侧，面积为370021.19㎡，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2：本项目位于西安市泾渭新城高永路北侧、延长西侧、地通东侧，面积为370021.19㎡，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1,332,076.27</w:t>
      </w:r>
    </w:p>
    <w:p>
      <w:pPr>
        <w:pStyle w:val="null3"/>
      </w:pPr>
      <w:r>
        <w:rPr>
          <w:rFonts w:ascii="仿宋_GB2312" w:hAnsi="仿宋_GB2312" w:cs="仿宋_GB2312" w:eastAsia="仿宋_GB2312"/>
        </w:rPr>
        <w:t>采购包最高限价（元）: 1,332,076.27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1,332,076.27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1,332,076.27</w:t>
      </w:r>
    </w:p>
    <w:p>
      <w:pPr>
        <w:pStyle w:val="null3"/>
      </w:pPr>
      <w:r>
        <w:rPr>
          <w:rFonts w:ascii="仿宋_GB2312" w:hAnsi="仿宋_GB2312" w:cs="仿宋_GB2312" w:eastAsia="仿宋_GB2312"/>
        </w:rPr>
        <w:t>采购包最高限价（元）: 1,332,076.27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1,332,076.27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西安市泾渭新城高永路北侧、延长西侧、地通东侧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西安市泾渭新城高永路北侧、延长西侧、地通东侧</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1、本项目为专门面向中小企业。2、若为多个标包项目，则供应商可以对一个标包进行投标，也可对多个标包进行投标，但只能中一个标包。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