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6626A4">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合同草案条款</w:t>
      </w:r>
    </w:p>
    <w:p w14:paraId="32765B52">
      <w:pPr>
        <w:spacing w:line="360" w:lineRule="auto"/>
        <w:rPr>
          <w:rFonts w:hint="eastAsia" w:ascii="宋体" w:hAnsi="宋体" w:eastAsia="宋体" w:cs="宋体"/>
          <w:sz w:val="24"/>
          <w:szCs w:val="24"/>
        </w:rPr>
      </w:pPr>
    </w:p>
    <w:p w14:paraId="7FCD5E99">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一、服务条件</w:t>
      </w:r>
    </w:p>
    <w:p w14:paraId="5680A87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（一）服务地点：采购人指定地点</w:t>
      </w:r>
    </w:p>
    <w:p w14:paraId="664E44B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（二）服务期： 自合同签订之日起 </w:t>
      </w: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 年</w:t>
      </w:r>
    </w:p>
    <w:p w14:paraId="5797EAF7">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二、合同价款</w:t>
      </w:r>
    </w:p>
    <w:p w14:paraId="009C4B8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合同总价一次性包死，不受市场价格变化因素的影响。</w:t>
      </w:r>
    </w:p>
    <w:p w14:paraId="5A17994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合同价款中已包括管理人员和服务人员的人工费（工资、社保、福利等）、节假日加班费、员工培训费、办公经费、员工食宿费、清洁材料、工具、劳保及人身意外保险费，设备设施维护费、企业法定利润，财务费用、管理费用和税金等一切费用。系固定不变价格，不受市场价格变化因素的影响。其中，人员的工资、社保、福利等必须符合国家及省、市相关法律法规所规定的标准要求。</w:t>
      </w:r>
    </w:p>
    <w:p w14:paraId="5D1B0FBC">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三、款项结算</w:t>
      </w:r>
    </w:p>
    <w:p w14:paraId="5D844C9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（一）支付方式：银行转账</w:t>
      </w:r>
      <w:bookmarkStart w:id="1" w:name="_GoBack"/>
      <w:bookmarkEnd w:id="1"/>
    </w:p>
    <w:p w14:paraId="23AC37C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（二）货币单位：人民币</w:t>
      </w:r>
    </w:p>
    <w:p w14:paraId="3397A90F">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（三）结算方式：</w:t>
      </w:r>
      <w:r>
        <w:rPr>
          <w:rFonts w:hint="eastAsia" w:ascii="宋体" w:hAnsi="宋体" w:eastAsia="宋体" w:cs="宋体"/>
          <w:sz w:val="24"/>
          <w:szCs w:val="24"/>
          <w:lang w:val="en-US" w:eastAsia="zh-CN"/>
        </w:rPr>
        <w:t>合同签订之日起按约定日期支付合同总金额的70%，服务期满1年后，采购人对服务质量无异议，付款合同总金额的30%。</w:t>
      </w:r>
    </w:p>
    <w:p w14:paraId="2302244D">
      <w:pPr>
        <w:spacing w:line="360" w:lineRule="auto"/>
        <w:rPr>
          <w:rFonts w:hint="eastAsia" w:ascii="宋体" w:hAnsi="宋体" w:eastAsia="宋体" w:cs="宋体"/>
          <w:sz w:val="24"/>
          <w:szCs w:val="24"/>
        </w:rPr>
      </w:pPr>
      <w:r>
        <w:rPr>
          <w:rFonts w:hint="eastAsia" w:ascii="宋体" w:hAnsi="宋体" w:eastAsia="宋体" w:cs="宋体"/>
          <w:sz w:val="24"/>
          <w:szCs w:val="24"/>
        </w:rPr>
        <w:t>四、在签订合同前，成交供应商应按照磋商文件</w:t>
      </w:r>
      <w:r>
        <w:rPr>
          <w:rFonts w:hint="eastAsia" w:ascii="宋体" w:hAnsi="宋体" w:eastAsia="宋体" w:cs="宋体"/>
          <w:sz w:val="24"/>
          <w:szCs w:val="24"/>
          <w:lang w:val="en-US" w:eastAsia="zh-CN"/>
        </w:rPr>
        <w:t>中</w:t>
      </w:r>
      <w:r>
        <w:rPr>
          <w:rFonts w:hint="eastAsia" w:ascii="宋体" w:hAnsi="宋体" w:eastAsia="宋体" w:cs="宋体"/>
          <w:sz w:val="24"/>
          <w:szCs w:val="24"/>
        </w:rPr>
        <w:t>磋商内容及采购要求》中所有承诺事项要求落实，如未在规定时限内按要求完成所承诺事项的，则视为主动放弃成交资格。</w:t>
      </w:r>
    </w:p>
    <w:p w14:paraId="785ED5C1">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五、服务保证</w:t>
      </w:r>
    </w:p>
    <w:p w14:paraId="070E5AF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（一）人员雇佣及工资标准</w:t>
      </w:r>
    </w:p>
    <w:p w14:paraId="558AD6C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1、成交供应商须保障所有人员待遇不得低于</w:t>
      </w:r>
      <w:r>
        <w:rPr>
          <w:rFonts w:hint="eastAsia" w:ascii="宋体" w:hAnsi="宋体" w:eastAsia="宋体" w:cs="宋体"/>
          <w:sz w:val="24"/>
          <w:szCs w:val="24"/>
          <w:lang w:val="en-US" w:eastAsia="zh-CN"/>
        </w:rPr>
        <w:t>陕西省</w:t>
      </w:r>
      <w:r>
        <w:rPr>
          <w:rFonts w:hint="eastAsia" w:ascii="宋体" w:hAnsi="宋体" w:eastAsia="宋体" w:cs="宋体"/>
          <w:sz w:val="24"/>
          <w:szCs w:val="24"/>
        </w:rPr>
        <w:t>最低工资标准。</w:t>
      </w:r>
    </w:p>
    <w:p w14:paraId="21D6262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2、成交供应商须与员工签订劳动合同，引起劳动关系问题由成交供应 商负责。</w:t>
      </w:r>
    </w:p>
    <w:p w14:paraId="38C8DCC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（二）成交供应商提供服务时，服务要求应按不低于国家、省、市有 关部门规定的质量标准执行。</w:t>
      </w:r>
    </w:p>
    <w:p w14:paraId="67147A2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（三）成交供应商承诺与拟投入人员均有劳动合同或聘用协议。</w:t>
      </w:r>
    </w:p>
    <w:p w14:paraId="5B40DDB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（四）成交供应商承诺工作人员按磋商文件落实。</w:t>
      </w:r>
    </w:p>
    <w:p w14:paraId="07A89FFB">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六、服务承诺</w:t>
      </w:r>
    </w:p>
    <w:p w14:paraId="14BB036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以投标文件、澄清表（函）、合同和随服务的相关文件为准。</w:t>
      </w:r>
    </w:p>
    <w:p w14:paraId="55ECAD45">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七、解除合同</w:t>
      </w:r>
    </w:p>
    <w:p w14:paraId="269BC88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如发生下列任意一项，采购人有权责令整改并向上级主管部门报备解除合同，并要求成交供应商赔偿相关损失及承担相关法律责任。</w:t>
      </w:r>
    </w:p>
    <w:p w14:paraId="0D44718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1、考核不合格，拒不改正、影响服务质量或损害国家利益的。</w:t>
      </w:r>
    </w:p>
    <w:p w14:paraId="7AD0355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2、因成交供应商原因导致重大火灾、伤亡、档案丢失等。</w:t>
      </w:r>
    </w:p>
    <w:p w14:paraId="022878F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3、发生重大安全事件隐瞒不报。</w:t>
      </w:r>
    </w:p>
    <w:p w14:paraId="5DA6CC1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4、其他违反法律、法规和规章制度行为，造成恶劣影响的。</w:t>
      </w:r>
    </w:p>
    <w:p w14:paraId="3A02F7D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5、未按本项目合同要求提供服务或服务质量不能满足合同要求，采购人应当将服务违约的情况以及拟按合同约定采取的措施以书面形式报政府 采购监管部门，根据政府采购监管部门的处理意见，采购人有权依据《中 华人民共和国民法典》有关条款及合同约定终止合同，并要求成交供应商 承担违约责任。同时，政府采购监管部门有权依据《政府采购法》及相关 法律法规对成交供应商的违法行为进行相应的处罚。</w:t>
      </w:r>
    </w:p>
    <w:p w14:paraId="2D299F97">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八、违约责任</w:t>
      </w:r>
    </w:p>
    <w:p w14:paraId="3D807D6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（一）按《中华人民共和国民法典》 中的相关条款执行。</w:t>
      </w:r>
    </w:p>
    <w:p w14:paraId="74836A4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（二）未按合同要求提供服务或服务质量不能满足合同要求，采购人 有权依据《中华人民共和国民法典》有关条款及合同约定终止合同，并要 求成交供应商承担违约责任。</w:t>
      </w:r>
    </w:p>
    <w:p w14:paraId="3A749FD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（三）采购人行为违约导致成交供应商未能完成服务内容，成交供应 商有权要求采购人在一定期限内解决，逾期未解决造成成交供应商经济损 失的，采购人应予赔偿。</w:t>
      </w:r>
    </w:p>
    <w:p w14:paraId="5BADBFF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（四）成交供应商在</w:t>
      </w:r>
      <w:r>
        <w:rPr>
          <w:rFonts w:hint="eastAsia" w:ascii="宋体" w:hAnsi="宋体" w:eastAsia="宋体" w:cs="宋体"/>
          <w:sz w:val="24"/>
          <w:szCs w:val="24"/>
          <w:lang w:val="en-US" w:eastAsia="zh-CN"/>
        </w:rPr>
        <w:t>服务</w:t>
      </w:r>
      <w:r>
        <w:rPr>
          <w:rFonts w:hint="eastAsia" w:ascii="宋体" w:hAnsi="宋体" w:eastAsia="宋体" w:cs="宋体"/>
          <w:sz w:val="24"/>
          <w:szCs w:val="24"/>
        </w:rPr>
        <w:t>工作中未达到的质量标准，经采购人两次通知整改，仍未达到标准的，采购人有权扣</w:t>
      </w:r>
      <w:r>
        <w:rPr>
          <w:rFonts w:hint="eastAsia" w:ascii="宋体" w:hAnsi="宋体" w:eastAsia="宋体" w:cs="宋体"/>
          <w:sz w:val="24"/>
          <w:szCs w:val="24"/>
          <w:lang w:val="en-US" w:eastAsia="zh-CN"/>
        </w:rPr>
        <w:t>部分</w:t>
      </w:r>
      <w:r>
        <w:rPr>
          <w:rFonts w:hint="eastAsia" w:ascii="宋体" w:hAnsi="宋体" w:eastAsia="宋体" w:cs="宋体"/>
          <w:sz w:val="24"/>
          <w:szCs w:val="24"/>
        </w:rPr>
        <w:t>服务费作为违约金。成交供应商拒不整改的，采购人有权解除本协议，并不支付成交供应商任何服务费用。</w:t>
      </w:r>
    </w:p>
    <w:p w14:paraId="3DBFA766">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九、双方的权利与义务</w:t>
      </w:r>
    </w:p>
    <w:p w14:paraId="4D38764C">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（一）采购人的权利与义务</w:t>
      </w:r>
    </w:p>
    <w:p w14:paraId="0C968B7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1、采购人对服务质量有权进行监督和考核，对存在的问题提出整改意见，督促改进和落实，切实提高服务质量，考核分日考核、月度考核 和年度考核，按照考核办法扣分和奖励；</w:t>
      </w:r>
    </w:p>
    <w:p w14:paraId="275CD3C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2、采购人有权安排专人对</w:t>
      </w:r>
      <w:r>
        <w:rPr>
          <w:rFonts w:hint="eastAsia" w:ascii="宋体" w:hAnsi="宋体" w:eastAsia="宋体" w:cs="宋体"/>
          <w:sz w:val="24"/>
          <w:szCs w:val="24"/>
          <w:lang w:val="en-US" w:eastAsia="zh-CN"/>
        </w:rPr>
        <w:t>服务业人员</w:t>
      </w:r>
      <w:r>
        <w:rPr>
          <w:rFonts w:hint="eastAsia" w:ascii="宋体" w:hAnsi="宋体" w:eastAsia="宋体" w:cs="宋体"/>
          <w:sz w:val="24"/>
          <w:szCs w:val="24"/>
        </w:rPr>
        <w:t>上岗及值勤情况进行监督检查、抽查。对上岗人员缺勤及违纪情况进行考核。</w:t>
      </w:r>
    </w:p>
    <w:p w14:paraId="599E9E5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3、采购人有权提出工作要求、任务变更的建议，并对任务完成情况进</w:t>
      </w:r>
    </w:p>
    <w:p w14:paraId="7A67BDC8">
      <w:pPr>
        <w:spacing w:line="360" w:lineRule="auto"/>
        <w:rPr>
          <w:rFonts w:hint="eastAsia" w:ascii="宋体" w:hAnsi="宋体" w:eastAsia="宋体" w:cs="宋体"/>
          <w:sz w:val="24"/>
          <w:szCs w:val="24"/>
        </w:rPr>
      </w:pPr>
      <w:r>
        <w:rPr>
          <w:rFonts w:hint="eastAsia" w:ascii="宋体" w:hAnsi="宋体" w:eastAsia="宋体" w:cs="宋体"/>
          <w:sz w:val="24"/>
          <w:szCs w:val="24"/>
        </w:rPr>
        <w:t>行考评；</w:t>
      </w:r>
    </w:p>
    <w:p w14:paraId="1FCEEB9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4、采购人有权对违纪或不适应工作的保安员提出更换，成交供应商应迅速响应并在 5 个工作日内按采购人要求调整落实；</w:t>
      </w:r>
    </w:p>
    <w:p w14:paraId="2AE11DA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5、采购人应按照合同约定，按时支付服务费；</w:t>
      </w:r>
    </w:p>
    <w:p w14:paraId="6A3B2F7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6、采购人为成交供应商提供必要工作条件。</w:t>
      </w:r>
    </w:p>
    <w:p w14:paraId="54EDB1C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7、成交供应商人员在工作中因自身原因造成的人身伤亡，一切责任由乙方承担，与采购人无关。</w:t>
      </w:r>
    </w:p>
    <w:p w14:paraId="5048DC47">
      <w:pPr>
        <w:spacing w:line="360" w:lineRule="auto"/>
        <w:rPr>
          <w:rFonts w:hint="eastAsia" w:ascii="宋体" w:hAnsi="宋体" w:eastAsia="宋体" w:cs="宋体"/>
          <w:sz w:val="24"/>
          <w:szCs w:val="24"/>
        </w:rPr>
      </w:pPr>
      <w:r>
        <w:rPr>
          <w:rFonts w:hint="eastAsia" w:ascii="宋体" w:hAnsi="宋体" w:eastAsia="宋体" w:cs="宋体"/>
          <w:sz w:val="24"/>
          <w:szCs w:val="24"/>
        </w:rPr>
        <w:t>（二）成交供应商的权利与义务</w:t>
      </w:r>
    </w:p>
    <w:p w14:paraId="22426C8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1、有权对</w:t>
      </w:r>
      <w:r>
        <w:rPr>
          <w:rFonts w:hint="eastAsia" w:ascii="宋体" w:hAnsi="宋体" w:eastAsia="宋体" w:cs="宋体"/>
          <w:sz w:val="24"/>
          <w:szCs w:val="24"/>
          <w:lang w:val="en-US" w:eastAsia="zh-CN"/>
        </w:rPr>
        <w:t>服务人员</w:t>
      </w:r>
      <w:r>
        <w:rPr>
          <w:rFonts w:hint="eastAsia" w:ascii="宋体" w:hAnsi="宋体" w:eastAsia="宋体" w:cs="宋体"/>
          <w:sz w:val="24"/>
          <w:szCs w:val="24"/>
        </w:rPr>
        <w:t>进行管理、培训，对不适合的</w:t>
      </w:r>
      <w:r>
        <w:rPr>
          <w:rFonts w:hint="eastAsia" w:ascii="宋体" w:hAnsi="宋体" w:eastAsia="宋体" w:cs="宋体"/>
          <w:sz w:val="24"/>
          <w:szCs w:val="24"/>
          <w:lang w:val="en-US" w:eastAsia="zh-CN"/>
        </w:rPr>
        <w:t>人员</w:t>
      </w:r>
      <w:r>
        <w:rPr>
          <w:rFonts w:hint="eastAsia" w:ascii="宋体" w:hAnsi="宋体" w:eastAsia="宋体" w:cs="宋体"/>
          <w:sz w:val="24"/>
          <w:szCs w:val="24"/>
        </w:rPr>
        <w:t>进行调换，对违纪</w:t>
      </w:r>
      <w:r>
        <w:rPr>
          <w:rFonts w:hint="eastAsia" w:ascii="宋体" w:hAnsi="宋体" w:eastAsia="宋体" w:cs="宋体"/>
          <w:sz w:val="24"/>
          <w:szCs w:val="24"/>
          <w:lang w:val="en-US" w:eastAsia="zh-CN"/>
        </w:rPr>
        <w:t>人员</w:t>
      </w:r>
      <w:r>
        <w:rPr>
          <w:rFonts w:hint="eastAsia" w:ascii="宋体" w:hAnsi="宋体" w:eastAsia="宋体" w:cs="宋体"/>
          <w:sz w:val="24"/>
          <w:szCs w:val="24"/>
        </w:rPr>
        <w:t>予以辞退。</w:t>
      </w:r>
    </w:p>
    <w:p w14:paraId="69BE6FC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2、对</w:t>
      </w:r>
      <w:r>
        <w:rPr>
          <w:rFonts w:hint="eastAsia" w:ascii="宋体" w:hAnsi="宋体" w:eastAsia="宋体" w:cs="宋体"/>
          <w:sz w:val="24"/>
          <w:szCs w:val="24"/>
          <w:lang w:val="en-US" w:eastAsia="zh-CN"/>
        </w:rPr>
        <w:t>人员</w:t>
      </w:r>
      <w:r>
        <w:rPr>
          <w:rFonts w:hint="eastAsia" w:ascii="宋体" w:hAnsi="宋体" w:eastAsia="宋体" w:cs="宋体"/>
          <w:sz w:val="24"/>
          <w:szCs w:val="24"/>
        </w:rPr>
        <w:t>发现的不安全因素，及时向采购人提出书面反应，采购人应积极处理。</w:t>
      </w:r>
    </w:p>
    <w:p w14:paraId="5B631DD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3、有权使用采购人提供的安保器材，但须办理领取使用手续，爱护公用物品并承担维修维护费用。合同结束后应退还采购人，并确保完好。</w:t>
      </w:r>
    </w:p>
    <w:p w14:paraId="233D068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4、严格遵守国家法律、法规规章制度，文明执勤，保守机密，建立健全相关规章制度。</w:t>
      </w:r>
    </w:p>
    <w:p w14:paraId="04031F4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5、成交供应商应按规定组建</w:t>
      </w:r>
      <w:r>
        <w:rPr>
          <w:rFonts w:hint="eastAsia" w:ascii="宋体" w:hAnsi="宋体" w:eastAsia="宋体" w:cs="宋体"/>
          <w:sz w:val="24"/>
          <w:szCs w:val="24"/>
          <w:lang w:val="en-US" w:eastAsia="zh-CN"/>
        </w:rPr>
        <w:t>人员</w:t>
      </w:r>
      <w:r>
        <w:rPr>
          <w:rFonts w:hint="eastAsia" w:ascii="宋体" w:hAnsi="宋体" w:eastAsia="宋体" w:cs="宋体"/>
          <w:sz w:val="24"/>
          <w:szCs w:val="24"/>
        </w:rPr>
        <w:t>队伍，做好队伍管理，并结合实际情况对</w:t>
      </w:r>
      <w:r>
        <w:rPr>
          <w:rFonts w:hint="eastAsia" w:ascii="宋体" w:hAnsi="宋体" w:eastAsia="宋体" w:cs="宋体"/>
          <w:sz w:val="24"/>
          <w:szCs w:val="24"/>
          <w:lang w:val="en-US" w:eastAsia="zh-CN"/>
        </w:rPr>
        <w:t>人员</w:t>
      </w:r>
      <w:r>
        <w:rPr>
          <w:rFonts w:hint="eastAsia" w:ascii="宋体" w:hAnsi="宋体" w:eastAsia="宋体" w:cs="宋体"/>
          <w:sz w:val="24"/>
          <w:szCs w:val="24"/>
        </w:rPr>
        <w:t>进行培训、学习、教育和管理，提高服务质量和工作效率。</w:t>
      </w:r>
    </w:p>
    <w:p w14:paraId="5D94A7E9">
      <w:pPr>
        <w:spacing w:line="360" w:lineRule="auto"/>
        <w:rPr>
          <w:rFonts w:hint="eastAsia" w:ascii="宋体" w:hAnsi="宋体" w:eastAsia="宋体" w:cs="宋体"/>
          <w:sz w:val="24"/>
          <w:szCs w:val="24"/>
        </w:rPr>
      </w:pPr>
      <w:r>
        <w:rPr>
          <w:rFonts w:hint="eastAsia" w:ascii="宋体" w:hAnsi="宋体" w:eastAsia="宋体" w:cs="宋体"/>
          <w:b/>
          <w:bCs/>
          <w:sz w:val="24"/>
          <w:szCs w:val="24"/>
        </w:rPr>
        <w:t>十、争议解决</w:t>
      </w:r>
    </w:p>
    <w:p w14:paraId="509D0B9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执行本合同中产生纠纷， 由采购人与成交供应商双方协商解决；协商 不成， 向有管辖权的人民法院提起诉讼。</w:t>
      </w:r>
    </w:p>
    <w:p w14:paraId="51C5DDA0">
      <w:pPr>
        <w:spacing w:line="360" w:lineRule="auto"/>
        <w:rPr>
          <w:rFonts w:hint="eastAsia" w:ascii="宋体" w:hAnsi="宋体" w:eastAsia="宋体" w:cs="宋体"/>
          <w:sz w:val="24"/>
          <w:szCs w:val="24"/>
        </w:rPr>
      </w:pPr>
      <w:r>
        <w:rPr>
          <w:rFonts w:hint="eastAsia" w:ascii="宋体" w:hAnsi="宋体" w:eastAsia="宋体" w:cs="宋体"/>
          <w:b/>
          <w:bCs/>
          <w:sz w:val="24"/>
          <w:szCs w:val="24"/>
        </w:rPr>
        <w:t>十一、合同生效及其他</w:t>
      </w:r>
    </w:p>
    <w:p w14:paraId="600871C4">
      <w:pPr>
        <w:spacing w:line="360" w:lineRule="auto"/>
        <w:rPr>
          <w:rFonts w:hint="eastAsia" w:ascii="宋体" w:hAnsi="宋体" w:eastAsia="宋体" w:cs="宋体"/>
          <w:sz w:val="24"/>
          <w:szCs w:val="24"/>
        </w:rPr>
      </w:pPr>
      <w:r>
        <w:rPr>
          <w:rFonts w:hint="eastAsia" w:ascii="宋体" w:hAnsi="宋体" w:eastAsia="宋体" w:cs="宋体"/>
          <w:sz w:val="24"/>
          <w:szCs w:val="24"/>
        </w:rPr>
        <w:t>1、本合同自签订之日起生效。</w:t>
      </w:r>
    </w:p>
    <w:p w14:paraId="7F1F8986">
      <w:pPr>
        <w:spacing w:line="360" w:lineRule="auto"/>
        <w:rPr>
          <w:rFonts w:hint="eastAsia" w:ascii="宋体" w:hAnsi="宋体" w:eastAsia="宋体" w:cs="宋体"/>
          <w:sz w:val="24"/>
          <w:szCs w:val="24"/>
        </w:rPr>
      </w:pPr>
      <w:r>
        <w:rPr>
          <w:rFonts w:hint="eastAsia" w:ascii="宋体" w:hAnsi="宋体" w:eastAsia="宋体" w:cs="宋体"/>
          <w:sz w:val="24"/>
          <w:szCs w:val="24"/>
        </w:rPr>
        <w:t>2、合同份数由采购人和成交供应商具体商定。</w:t>
      </w:r>
    </w:p>
    <w:p w14:paraId="4C5F8A33">
      <w:pPr>
        <w:spacing w:line="360" w:lineRule="auto"/>
        <w:rPr>
          <w:rFonts w:hint="eastAsia" w:ascii="宋体" w:hAnsi="宋体" w:eastAsia="宋体" w:cs="宋体"/>
          <w:sz w:val="24"/>
          <w:szCs w:val="24"/>
          <w:lang w:val="en-US" w:eastAsia="zh-CN"/>
        </w:rPr>
        <w:sectPr>
          <w:headerReference r:id="rId5" w:type="default"/>
          <w:footerReference r:id="rId6" w:type="default"/>
          <w:pgSz w:w="11906" w:h="16839"/>
          <w:pgMar w:top="1264" w:right="1174" w:bottom="1192" w:left="1417" w:header="914" w:footer="1030" w:gutter="0"/>
          <w:pgNumType w:fmt="decimal"/>
          <w:cols w:space="720" w:num="1"/>
        </w:sectPr>
      </w:pPr>
      <w:r>
        <w:rPr>
          <w:rFonts w:hint="eastAsia" w:ascii="宋体" w:hAnsi="宋体" w:eastAsia="宋体" w:cs="宋体"/>
          <w:sz w:val="24"/>
          <w:szCs w:val="24"/>
        </w:rPr>
        <w:t>3、未尽事宜由双方在签订合同时具体明确</w:t>
      </w:r>
      <w:r>
        <w:rPr>
          <w:rFonts w:hint="eastAsia" w:ascii="宋体" w:hAnsi="宋体" w:eastAsia="宋体" w:cs="宋体"/>
          <w:sz w:val="24"/>
          <w:szCs w:val="24"/>
          <w:lang w:val="en-US" w:eastAsia="zh-CN"/>
        </w:rPr>
        <w:t>.</w:t>
      </w:r>
    </w:p>
    <w:p w14:paraId="755740E2">
      <w:pPr>
        <w:spacing w:line="360" w:lineRule="auto"/>
        <w:rPr>
          <w:rFonts w:hint="eastAsia" w:ascii="宋体" w:hAnsi="宋体" w:eastAsia="宋体" w:cs="宋体"/>
          <w:sz w:val="24"/>
          <w:szCs w:val="24"/>
        </w:rPr>
      </w:pPr>
      <w:bookmarkStart w:id="0" w:name="bookmark32"/>
      <w:bookmarkEnd w:id="0"/>
    </w:p>
    <w:sectPr>
      <w:headerReference r:id="rId7" w:type="default"/>
      <w:footerReference r:id="rId8"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746287">
    <w:pPr>
      <w:spacing w:line="176" w:lineRule="auto"/>
      <w:ind w:left="4449"/>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BAF5C40">
                          <w:pPr>
                            <w:pStyle w:val="2"/>
                          </w:pPr>
                          <w:r>
                            <w:fldChar w:fldCharType="begin"/>
                          </w:r>
                          <w:r>
                            <w:instrText xml:space="preserve"> PAGE  \* MERGEFORMAT </w:instrText>
                          </w:r>
                          <w:r>
                            <w:fldChar w:fldCharType="separate"/>
                          </w:r>
                          <w:r>
                            <w:t>49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3BAF5C40">
                    <w:pPr>
                      <w:pStyle w:val="2"/>
                    </w:pPr>
                    <w:r>
                      <w:fldChar w:fldCharType="begin"/>
                    </w:r>
                    <w:r>
                      <w:instrText xml:space="preserve"> PAGE  \* MERGEFORMAT </w:instrText>
                    </w:r>
                    <w:r>
                      <w:fldChar w:fldCharType="separate"/>
                    </w:r>
                    <w:r>
                      <w:t>49</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9F39A3">
    <w:pPr>
      <w:spacing w:line="176" w:lineRule="auto"/>
      <w:ind w:left="4449"/>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9" name="文本框 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EEDF9A">
                          <w:pPr>
                            <w:pStyle w:val="2"/>
                          </w:pPr>
                          <w:r>
                            <w:fldChar w:fldCharType="begin"/>
                          </w:r>
                          <w:r>
                            <w:instrText xml:space="preserve"> PAGE  \* MERGEFORMAT </w:instrText>
                          </w:r>
                          <w:r>
                            <w:fldChar w:fldCharType="separate"/>
                          </w:r>
                          <w:r>
                            <w:t>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g6Gf4zAgAAYwQAAA4AAABkcnMvZTJvRG9jLnhtbK1UzY7TMBC+I/EO&#10;lu80aYFVqZ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Hg6Gf4zAgAAYwQAAA4AAAAAAAAAAQAgAAAAHwEAAGRycy9lMm9Eb2MueG1sUEsF&#10;BgAAAAAGAAYAWQEAAMQFAAAAAA==&#10;">
              <v:fill on="f" focussize="0,0"/>
              <v:stroke on="f" weight="0.5pt"/>
              <v:imagedata o:title=""/>
              <o:lock v:ext="edit" aspectratio="f"/>
              <v:textbox inset="0mm,0mm,0mm,0mm" style="mso-fit-shape-to-text:t;">
                <w:txbxContent>
                  <w:p w14:paraId="7EEEDF9A">
                    <w:pPr>
                      <w:pStyle w:val="2"/>
                    </w:pPr>
                    <w:r>
                      <w:fldChar w:fldCharType="begin"/>
                    </w:r>
                    <w:r>
                      <w:instrText xml:space="preserve"> PAGE  \* MERGEFORMAT </w:instrText>
                    </w:r>
                    <w:r>
                      <w:fldChar w:fldCharType="separate"/>
                    </w:r>
                    <w:r>
                      <w:t>50</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E3A4C6">
    <w:pPr>
      <w:spacing w:before="18" w:line="221" w:lineRule="auto"/>
      <w:ind w:left="3124"/>
      <w:rPr>
        <w:rFonts w:ascii="仿宋" w:hAnsi="仿宋" w:eastAsia="仿宋" w:cs="仿宋"/>
        <w:sz w:val="24"/>
        <w:szCs w:val="24"/>
      </w:rPr>
    </w:pPr>
    <w:r>
      <mc:AlternateContent>
        <mc:Choice Requires="wps">
          <w:drawing>
            <wp:anchor distT="0" distB="0" distL="114300" distR="114300" simplePos="0" relativeHeight="251659264" behindDoc="0" locked="0" layoutInCell="0" allowOverlap="1">
              <wp:simplePos x="0" y="0"/>
              <wp:positionH relativeFrom="page">
                <wp:posOffset>899795</wp:posOffset>
              </wp:positionH>
              <wp:positionV relativeFrom="page">
                <wp:posOffset>785495</wp:posOffset>
              </wp:positionV>
              <wp:extent cx="5761355" cy="6350"/>
              <wp:effectExtent l="0" t="0" r="0" b="0"/>
              <wp:wrapNone/>
              <wp:docPr id="7" name="任意多边形 7"/>
              <wp:cNvGraphicFramePr/>
              <a:graphic xmlns:a="http://schemas.openxmlformats.org/drawingml/2006/main">
                <a:graphicData uri="http://schemas.microsoft.com/office/word/2010/wordprocessingShape">
                  <wps:wsp>
                    <wps:cNvSpPr/>
                    <wps:spPr>
                      <a:xfrm>
                        <a:off x="0" y="0"/>
                        <a:ext cx="5761355" cy="6350"/>
                      </a:xfrm>
                      <a:custGeom>
                        <a:avLst/>
                        <a:gdLst/>
                        <a:ahLst/>
                        <a:cxnLst/>
                        <a:pathLst>
                          <a:path w="9072" h="10">
                            <a:moveTo>
                              <a:pt x="0" y="0"/>
                            </a:moveTo>
                            <a:lnTo>
                              <a:pt x="9072" y="0"/>
                            </a:lnTo>
                            <a:lnTo>
                              <a:pt x="9072" y="9"/>
                            </a:lnTo>
                            <a:lnTo>
                              <a:pt x="0" y="9"/>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70.85pt;margin-top:61.85pt;height:0.5pt;width:453.65pt;mso-position-horizontal-relative:page;mso-position-vertical-relative:page;z-index:251659264;mso-width-relative:page;mso-height-relative:page;" fillcolor="#000000" filled="t" stroked="f" coordsize="9072,10" o:allowincell="f" o:gfxdata="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81B94NcAAAAMAQAADwAAAAAAAAABACAA&#10;AAAiAAAAZHJzL2Rvd25yZXYueG1sUEsBAhQAFAAAAAgAh07iQIvXNpkOAgAAeQQAAA4AAAAAAAAA&#10;AQAgAAAAJgEAAGRycy9lMm9Eb2MueG1sUEsFBgAAAAAGAAYAWQEAAKYFAAAAAA==&#10;" path="m0,0l9072,0,9072,9,0,9,0,0xe">
              <v:fill on="t" focussize="0,0"/>
              <v:stroke on="f"/>
              <v:imagedata o:title=""/>
              <o:lock v:ext="edit" aspectratio="f"/>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5CC2CF"/>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VlNTYyNGUwYjYxMWY5M2U4ZGYyMjg0YjI3YWNlNjMifQ=="/>
  </w:docVars>
  <w:rsids>
    <w:rsidRoot w:val="00000000"/>
    <w:rsid w:val="10DA2FDE"/>
    <w:rsid w:val="11E503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nhideWhenUsed="0" w:uiPriority="39"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next w:val="3"/>
    <w:qFormat/>
    <w:uiPriority w:val="0"/>
    <w:pPr>
      <w:tabs>
        <w:tab w:val="center" w:pos="4153"/>
        <w:tab w:val="right" w:pos="8306"/>
      </w:tabs>
      <w:snapToGrid w:val="0"/>
      <w:jc w:val="left"/>
    </w:pPr>
    <w:rPr>
      <w:sz w:val="18"/>
    </w:rPr>
  </w:style>
  <w:style w:type="paragraph" w:styleId="3">
    <w:name w:val="toc 8"/>
    <w:basedOn w:val="1"/>
    <w:next w:val="1"/>
    <w:qFormat/>
    <w:uiPriority w:val="39"/>
    <w:pPr>
      <w:ind w:left="2940" w:leftChars="1400"/>
    </w:pPr>
  </w:style>
  <w:style w:type="paragraph" w:styleId="4">
    <w:name w:val="Body Text"/>
    <w:basedOn w:val="1"/>
    <w:next w:val="1"/>
    <w:semiHidden/>
    <w:qFormat/>
    <w:uiPriority w:val="0"/>
    <w:rPr>
      <w:rFonts w:ascii="Arial" w:hAnsi="Arial" w:eastAsia="Arial" w:cs="Arial"/>
      <w:sz w:val="21"/>
      <w:szCs w:val="21"/>
      <w:lang w:val="en-US" w:eastAsia="en-US" w:bidi="ar-SA"/>
    </w:rPr>
  </w:style>
  <w:style w:type="paragraph" w:styleId="5">
    <w:name w:val="Body Text Indent"/>
    <w:basedOn w:val="1"/>
    <w:qFormat/>
    <w:uiPriority w:val="0"/>
    <w:pPr>
      <w:ind w:firstLine="630"/>
    </w:pPr>
    <w:rPr>
      <w:sz w:val="32"/>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1932</Words>
  <Characters>1936</Characters>
  <Lines>0</Lines>
  <Paragraphs>0</Paragraphs>
  <TotalTime>12</TotalTime>
  <ScaleCrop>false</ScaleCrop>
  <LinksUpToDate>false</LinksUpToDate>
  <CharactersWithSpaces>1956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2024-06-04T09:57:00Z</dcterms:created>
  <dc:creator>Administrator</dc:creator>
  <cp:lastModifiedBy>李飞</cp:lastModifiedBy>
  <dcterms:modified xsi:type="dcterms:W3CDTF">2025-05-09T01:45:59Z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E31A07838B9E497FA9556265F04F21A4_12</vt:lpwstr>
  </property>
  <property fmtid="{D5CDD505-2E9C-101B-9397-08002B2CF9AE}" pid="4" name="KSOTemplateDocerSaveRecord">
    <vt:lpwstr>eyJoZGlkIjoiYmZhNjZmMjQ1MWZlNTA1MTI3ZjI1MjVjNTZhMDAyZTUiLCJ1c2VySWQiOiI0NTY0NDY4NjgifQ==</vt:lpwstr>
  </property>
</Properties>
</file>