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版本号：GCZB2025-04-065-Q20250508001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陕西省煤矿领域调度会商系统项目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GCZB2025-04-065-Q</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陕西省煤矿领域调度会商系统项目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GCZB2025-04-065-Q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陕西省煤矿领域调度会商系统项目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陕西省应急管理厅陕西省煤矿领域调度会商系统项目，1项，具体内容详见采购文件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采购包1（陕西省煤矿领域调度会商系统项目）：属于专门面向中小企业采购。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2、财务状况报告：提供经审计的2023年度或2024年度的财务报告或提交响应文件截止时间前六个月内银行出具的资信证明；其他组织和自然人提供银行出具的资信证明或财务报表；</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6、具有履行合同所必须的设备和专业技术能力：具有履行合同所必须的设备和专业技术能力的说明及承诺；</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8、企业资质：供应商须具有电子与智能化工程专业承包二级及以上资质，同时具有有效的安全生产许可证；</w:t>
      </w:r>
    </w:p>
    <w:p>
      <w:pPr>
        <w:pStyle w:val="null3"/>
      </w:pPr>
      <w:r>
        <w:rPr>
          <w:rFonts w:ascii="仿宋_GB2312" w:hAnsi="仿宋_GB2312" w:cs="仿宋_GB2312" w:eastAsia="仿宋_GB2312"/>
        </w:rPr>
        <w:t>9、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10、直接控股、管理关系：单位负责人为同一人或存在直接控股、管理关系的不同单位，不得同时参加本项目投标活动；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029-61166213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代理服务费收费标准：成交服务费参照国家发展和改革委员会《招标代理服务收费暂行办法》（计价格[2002]1980号）及发改办价格[2003]857号文件的规定收取。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陕西省应急管理厅陕西省煤矿领域调度会商系统项目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陕西省煤矿领域调度会商系统项目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标的名称：陕西省煤矿领域调度会商系统项目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陕西省应急管理厅陕西省煤矿领域调度会商系统项目</w:t>
            </w:r>
          </w:p>
          <w:p>
            <w:pPr>
              <w:pStyle w:val="null3"/>
              <w:jc w:val="both"/>
            </w:pPr>
            <w:r>
              <w:rPr>
                <w:rFonts w:ascii="仿宋_GB2312" w:hAnsi="仿宋_GB2312" w:cs="仿宋_GB2312" w:eastAsia="仿宋_GB2312"/>
                <w:sz w:val="24"/>
                <w:color w:val="0000FF"/>
              </w:rPr>
              <w:t>2</w:t>
            </w:r>
            <w:r>
              <w:rPr>
                <w:rFonts w:ascii="仿宋_GB2312" w:hAnsi="仿宋_GB2312" w:cs="仿宋_GB2312" w:eastAsia="仿宋_GB2312"/>
                <w:sz w:val="24"/>
                <w:color w:val="0000FF"/>
              </w:rPr>
              <w:t>、</w:t>
            </w:r>
            <w:r>
              <w:rPr>
                <w:rFonts w:ascii="仿宋_GB2312" w:hAnsi="仿宋_GB2312" w:cs="仿宋_GB2312" w:eastAsia="仿宋_GB2312"/>
                <w:sz w:val="24"/>
                <w:color w:val="0000FF"/>
              </w:rPr>
              <w:t>工期：合同签订后</w:t>
            </w:r>
            <w:r>
              <w:rPr>
                <w:rFonts w:ascii="仿宋_GB2312" w:hAnsi="仿宋_GB2312" w:cs="仿宋_GB2312" w:eastAsia="仿宋_GB2312"/>
                <w:sz w:val="24"/>
                <w:color w:val="0000FF"/>
              </w:rPr>
              <w:t>20日历天</w:t>
            </w:r>
          </w:p>
          <w:p>
            <w:pPr>
              <w:pStyle w:val="null3"/>
              <w:jc w:val="both"/>
            </w:pPr>
            <w:r>
              <w:rPr>
                <w:rFonts w:ascii="仿宋_GB2312" w:hAnsi="仿宋_GB2312" w:cs="仿宋_GB2312" w:eastAsia="仿宋_GB2312"/>
                <w:sz w:val="24"/>
                <w:color w:val="000000"/>
              </w:rPr>
              <w:t>3、服务地点：采购人指定地点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服务</w:t>
            </w:r>
            <w:r>
              <w:rPr>
                <w:rFonts w:ascii="仿宋_GB2312" w:hAnsi="仿宋_GB2312" w:cs="仿宋_GB2312" w:eastAsia="仿宋_GB2312"/>
                <w:sz w:val="24"/>
                <w:b/>
              </w:rPr>
              <w:t>要求</w:t>
            </w:r>
          </w:p>
          <w:p>
            <w:pPr>
              <w:pStyle w:val="null3"/>
              <w:jc w:val="left"/>
            </w:pPr>
            <w:r>
              <w:rPr>
                <w:rFonts w:ascii="仿宋_GB2312" w:hAnsi="仿宋_GB2312" w:cs="仿宋_GB2312" w:eastAsia="仿宋_GB2312"/>
                <w:sz w:val="22"/>
                <w:b/>
              </w:rPr>
              <w:t>1.建设概况</w:t>
            </w:r>
          </w:p>
          <w:p>
            <w:pPr>
              <w:pStyle w:val="null3"/>
              <w:jc w:val="left"/>
            </w:pPr>
            <w:r>
              <w:rPr>
                <w:rFonts w:ascii="仿宋_GB2312" w:hAnsi="仿宋_GB2312" w:cs="仿宋_GB2312" w:eastAsia="仿宋_GB2312"/>
                <w:sz w:val="21"/>
              </w:rPr>
              <w:t>1.1建设概述</w:t>
            </w:r>
          </w:p>
          <w:p>
            <w:pPr>
              <w:pStyle w:val="null3"/>
              <w:ind w:firstLine="420"/>
              <w:jc w:val="left"/>
            </w:pPr>
            <w:r>
              <w:rPr>
                <w:rFonts w:ascii="仿宋_GB2312" w:hAnsi="仿宋_GB2312" w:cs="仿宋_GB2312" w:eastAsia="仿宋_GB2312"/>
                <w:sz w:val="21"/>
              </w:rPr>
              <w:t>本项目旨在建设连接陕西省应急管理厅与国家矿山安全监察局陕西局的专用数字电路，通过部署高性能网络安全防护设备和采用冗余网络架构，构建安全可靠、高速稳定的专用信息传输通道，实现跨区域数据的实时传输和无缝对接；同时打通</w:t>
            </w:r>
            <w:r>
              <w:rPr>
                <w:rFonts w:ascii="仿宋_GB2312" w:hAnsi="仿宋_GB2312" w:cs="仿宋_GB2312" w:eastAsia="仿宋_GB2312"/>
                <w:sz w:val="21"/>
              </w:rPr>
              <w:t>"陕西省矿山安全风险监测预警系统""煤矿工业视频远程巡查联网系统""复合灾害预警系统"等专业系统的网络通道及访问权限，实现平台数据访问的互联互通；在此基础上升级扩容视频会议系统，新增5套高清视频终端设备，扩展通信链路容量，构建完善的应急指挥视频会商体系，全面提升矿山安全监管的数字化水平和应急响应效率，为陕西省矿山安全生产提供强有力的技术支撑。</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建设目标</w:t>
            </w:r>
          </w:p>
          <w:p>
            <w:pPr>
              <w:pStyle w:val="null3"/>
              <w:ind w:firstLine="210"/>
              <w:jc w:val="left"/>
            </w:pPr>
            <w:r>
              <w:rPr>
                <w:rFonts w:ascii="仿宋_GB2312" w:hAnsi="仿宋_GB2312" w:cs="仿宋_GB2312" w:eastAsia="仿宋_GB2312"/>
                <w:sz w:val="21"/>
              </w:rPr>
              <w:t>为进一步提高陕西省应急厅煤炭安全生产监督能力，充分利用信息化及数字化手段，打通与国家矿山安全监察局陕西局</w:t>
            </w:r>
            <w:r>
              <w:rPr>
                <w:rFonts w:ascii="仿宋_GB2312" w:hAnsi="仿宋_GB2312" w:cs="仿宋_GB2312" w:eastAsia="仿宋_GB2312"/>
                <w:sz w:val="21"/>
              </w:rPr>
              <w:t>“陕西省矿山安全风险监测预警系统”“煤矿工业视频远程巡查联网系统”“复合灾害预警系统”等专业系统的网络通道及访问权限，实现平台数据安全访问、互联互通、有效共享。</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实施要求</w:t>
            </w:r>
          </w:p>
          <w:p>
            <w:pPr>
              <w:pStyle w:val="null3"/>
              <w:ind w:firstLine="210"/>
              <w:jc w:val="left"/>
            </w:pPr>
            <w:r>
              <w:rPr>
                <w:rFonts w:ascii="仿宋_GB2312" w:hAnsi="仿宋_GB2312" w:cs="仿宋_GB2312" w:eastAsia="仿宋_GB2312"/>
                <w:sz w:val="21"/>
              </w:rPr>
              <w:t>本项目在实施阶段应充分调研现场需求，严格遵照陕西省应急管理厅与国家矿山安全监察局陕西局的现有网络架构，进行持续迭代，确保可拓展、有冗余。要求搭建一条专用数字电路，部署高性能网络安全防护设备和冗余网络架构，确保安全可靠、高速稳定的信息传输，实现跨区域数据的实时传输和无缝对接；同时打通目标要求的业务系统网络通道及设置访问权限，实现平台安全可靠、互联互通；在此基础上升级扩容视频会议系统，新增高清视频终端设备，扩展通信链路容量，构建完善的应急指挥视频会商体系，全面提升矿山安全监管的数字化水平和应急响应效率。</w:t>
            </w:r>
          </w:p>
          <w:p>
            <w:pPr>
              <w:pStyle w:val="null3"/>
              <w:jc w:val="left"/>
            </w:pPr>
            <w:r>
              <w:rPr>
                <w:rFonts w:ascii="仿宋_GB2312" w:hAnsi="仿宋_GB2312" w:cs="仿宋_GB2312" w:eastAsia="仿宋_GB2312"/>
                <w:sz w:val="21"/>
                <w:b/>
              </w:rPr>
              <w:t>2.技术指标</w:t>
            </w:r>
          </w:p>
          <w:p>
            <w:pPr>
              <w:pStyle w:val="null3"/>
              <w:jc w:val="left"/>
            </w:pPr>
            <w:r>
              <w:rPr>
                <w:rFonts w:ascii="仿宋_GB2312" w:hAnsi="仿宋_GB2312" w:cs="仿宋_GB2312" w:eastAsia="仿宋_GB2312"/>
                <w:sz w:val="21"/>
              </w:rPr>
              <w:t>2.1数字电路专线建设方面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1）充分结合现有</w:t>
            </w:r>
            <w:r>
              <w:rPr>
                <w:rFonts w:ascii="仿宋_GB2312" w:hAnsi="仿宋_GB2312" w:cs="仿宋_GB2312" w:eastAsia="仿宋_GB2312"/>
                <w:sz w:val="21"/>
              </w:rPr>
              <w:t>网络</w:t>
            </w:r>
            <w:r>
              <w:rPr>
                <w:rFonts w:ascii="仿宋_GB2312" w:hAnsi="仿宋_GB2312" w:cs="仿宋_GB2312" w:eastAsia="仿宋_GB2312"/>
                <w:sz w:val="21"/>
              </w:rPr>
              <w:t>现状</w:t>
            </w:r>
            <w:r>
              <w:rPr>
                <w:rFonts w:ascii="仿宋_GB2312" w:hAnsi="仿宋_GB2312" w:cs="仿宋_GB2312" w:eastAsia="仿宋_GB2312"/>
                <w:sz w:val="21"/>
              </w:rPr>
              <w:t>和使用性能，选用专业运营商。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2）数字电路专线需支持带宽平滑拓展升级。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3）支持冗余设计，确保单点故障不影响整体运行，保证访问过程连续性。</w:t>
            </w:r>
          </w:p>
          <w:p>
            <w:pPr>
              <w:pStyle w:val="null3"/>
              <w:jc w:val="left"/>
            </w:pPr>
            <w:r>
              <w:rPr>
                <w:rFonts w:ascii="仿宋_GB2312" w:hAnsi="仿宋_GB2312" w:cs="仿宋_GB2312" w:eastAsia="仿宋_GB2312"/>
                <w:sz w:val="21"/>
              </w:rPr>
              <w:t>2.2数字电路专线接入安全方面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保证陕西省应急管理厅和国家矿山安全监察局陕西局均具备网络安全设备执行安全防护措施。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2）网络安全设备24小时运行监控，阻止未经授权的访问，防止对应用层的恶意攻击和威胁。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3）保证网络安全设备满足国产信创要求。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以上内容的技术需求，详见附件。</w:t>
            </w:r>
          </w:p>
          <w:p>
            <w:pPr>
              <w:pStyle w:val="null3"/>
              <w:jc w:val="center"/>
            </w:pPr>
            <w:r>
              <w:rPr>
                <w:rFonts w:ascii="仿宋_GB2312" w:hAnsi="仿宋_GB2312" w:cs="仿宋_GB2312" w:eastAsia="仿宋_GB2312"/>
                <w:sz w:val="21"/>
                <w:b/>
                <w:color w:val="000000"/>
              </w:rPr>
              <w:t>煤矿领域调度会商系统项目技术需求</w:t>
            </w:r>
          </w:p>
          <w:tbl>
            <w:tblPr>
              <w:tblBorders>
                <w:top w:val="none" w:color="000000" w:sz="4"/>
                <w:left w:val="none" w:color="000000" w:sz="4"/>
                <w:bottom w:val="none" w:color="000000" w:sz="4"/>
                <w:right w:val="none" w:color="000000" w:sz="4"/>
                <w:insideH w:val="none"/>
                <w:insideV w:val="none"/>
              </w:tblBorders>
            </w:tblPr>
            <w:tblGrid>
              <w:gridCol w:w="265"/>
              <w:gridCol w:w="664"/>
              <w:gridCol w:w="1102"/>
              <w:gridCol w:w="259"/>
              <w:gridCol w:w="264"/>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数字电路专线</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100Mbps带宽数字电路专线，光传输网</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网络安全设备</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16G，固态硬盘512G，10个千兆电口，6个千兆光插槽。默认包含应用识别功能，含3年应用特征库升级许可；3年硬件质保</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视频会商分布式终端</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1.操作系统：Android11</w:t>
                  </w:r>
                </w:p>
                <w:p>
                  <w:pPr>
                    <w:pStyle w:val="null3"/>
                    <w:jc w:val="left"/>
                  </w:pPr>
                  <w:r>
                    <w:rPr>
                      <w:rFonts w:ascii="仿宋_GB2312" w:hAnsi="仿宋_GB2312" w:cs="仿宋_GB2312" w:eastAsia="仿宋_GB2312"/>
                      <w:sz w:val="21"/>
                    </w:rPr>
                    <w:t>2.处理器：8核，DDR4G,EMMC16G</w:t>
                  </w:r>
                </w:p>
                <w:p>
                  <w:pPr>
                    <w:pStyle w:val="null3"/>
                    <w:jc w:val="left"/>
                  </w:pPr>
                  <w:r>
                    <w:rPr>
                      <w:rFonts w:ascii="仿宋_GB2312" w:hAnsi="仿宋_GB2312" w:cs="仿宋_GB2312" w:eastAsia="仿宋_GB2312"/>
                      <w:sz w:val="21"/>
                    </w:rPr>
                    <w:t>3.标准协议：多媒体框架协议ITU-TH.323,IETFSIP；视频编解码协议H.261,H.263,H.263+,H.263++,H.264,H.264HighProfile，H.264SVC；音频编解码协议G.711,G.722,G.722.1*,G.722.1C*,AAC-LD,G.726,SILK；双流协议ITU-TH.239,BFCP；其他通信协议H.221,H.224,H.225,H.235,H.241,H.245,H.281,H.350,H.460,T.140,DTMF；网络传输协议TCP/IP,DHCP,SSH,HTTP,HTTPSwithSSL/TLS,RTP,RTCP,RFC3261,RFC3264,RFC2190,RFC3407,RFC2833。</w:t>
                  </w:r>
                </w:p>
                <w:p>
                  <w:pPr>
                    <w:pStyle w:val="null3"/>
                    <w:jc w:val="left"/>
                  </w:pPr>
                  <w:r>
                    <w:rPr>
                      <w:rFonts w:ascii="仿宋_GB2312" w:hAnsi="仿宋_GB2312" w:cs="仿宋_GB2312" w:eastAsia="仿宋_GB2312"/>
                      <w:sz w:val="21"/>
                    </w:rPr>
                    <w:t>4.活动图像分辨率：4KP30，最低带宽2048Kpbs；1080p,最低带宽1024Kpbs；720p,最低带宽512Kbps。</w:t>
                  </w:r>
                </w:p>
                <w:p>
                  <w:pPr>
                    <w:pStyle w:val="null3"/>
                    <w:jc w:val="left"/>
                  </w:pPr>
                  <w:r>
                    <w:rPr>
                      <w:rFonts w:ascii="仿宋_GB2312" w:hAnsi="仿宋_GB2312" w:cs="仿宋_GB2312" w:eastAsia="仿宋_GB2312"/>
                      <w:sz w:val="21"/>
                    </w:rPr>
                    <w:t>5.数据内容分辨率：输入:VGA(640x480),SVGA(800x600),XGA(1024x768),WXGA(1280x768),WXGA(1280x800),1280x960,SXGA(1280x1024),1360x768,1366x768,1440x900,1600x900,720p(1280x720),1080p(1920x1080),3840x2160。编解码800x600,1024x768,1280x1024,1280x720,1920x1080,3840x2160。输出800x600,1024x768,1280x1024,1280x720,1920x1080,3840x2160。</w:t>
                  </w:r>
                </w:p>
                <w:p>
                  <w:pPr>
                    <w:pStyle w:val="null3"/>
                    <w:jc w:val="left"/>
                  </w:pPr>
                  <w:r>
                    <w:rPr>
                      <w:rFonts w:ascii="仿宋_GB2312" w:hAnsi="仿宋_GB2312" w:cs="仿宋_GB2312" w:eastAsia="仿宋_GB2312"/>
                      <w:sz w:val="21"/>
                    </w:rPr>
                    <w:t>6.音频特性：自动回声消除（AEC），自动增益控制（AGC），自动噪声抑制（ANS），支持唇音同步。</w:t>
                  </w:r>
                </w:p>
                <w:p>
                  <w:pPr>
                    <w:pStyle w:val="null3"/>
                    <w:jc w:val="left"/>
                  </w:pPr>
                  <w:r>
                    <w:rPr>
                      <w:rFonts w:ascii="仿宋_GB2312" w:hAnsi="仿宋_GB2312" w:cs="仿宋_GB2312" w:eastAsia="仿宋_GB2312"/>
                      <w:sz w:val="21"/>
                    </w:rPr>
                    <w:t>7.音频输入接口：1x3.5mm线性输入,1x卡侬头麦克风输入,1xRJ45数字麦克风输入。</w:t>
                  </w:r>
                </w:p>
                <w:p>
                  <w:pPr>
                    <w:pStyle w:val="null3"/>
                    <w:jc w:val="left"/>
                  </w:pPr>
                  <w:r>
                    <w:rPr>
                      <w:rFonts w:ascii="仿宋_GB2312" w:hAnsi="仿宋_GB2312" w:cs="仿宋_GB2312" w:eastAsia="仿宋_GB2312"/>
                      <w:sz w:val="21"/>
                    </w:rPr>
                    <w:t>8.音频输出接口：1x3.5mm线性输出,2xHDMI音频输出。</w:t>
                  </w:r>
                </w:p>
                <w:p>
                  <w:pPr>
                    <w:pStyle w:val="null3"/>
                    <w:jc w:val="left"/>
                  </w:pPr>
                  <w:r>
                    <w:rPr>
                      <w:rFonts w:ascii="仿宋_GB2312" w:hAnsi="仿宋_GB2312" w:cs="仿宋_GB2312" w:eastAsia="仿宋_GB2312"/>
                      <w:sz w:val="21"/>
                    </w:rPr>
                    <w:t>9.视频输入接口：2xHDMI，1xUSB。</w:t>
                  </w:r>
                </w:p>
                <w:p>
                  <w:pPr>
                    <w:pStyle w:val="null3"/>
                    <w:jc w:val="left"/>
                  </w:pPr>
                  <w:r>
                    <w:rPr>
                      <w:rFonts w:ascii="仿宋_GB2312" w:hAnsi="仿宋_GB2312" w:cs="仿宋_GB2312" w:eastAsia="仿宋_GB2312"/>
                      <w:sz w:val="21"/>
                    </w:rPr>
                    <w:t>10.视频输出接口：2xHDMI</w:t>
                  </w:r>
                </w:p>
                <w:p>
                  <w:pPr>
                    <w:pStyle w:val="null3"/>
                    <w:jc w:val="left"/>
                  </w:pPr>
                  <w:r>
                    <w:rPr>
                      <w:rFonts w:ascii="仿宋_GB2312" w:hAnsi="仿宋_GB2312" w:cs="仿宋_GB2312" w:eastAsia="仿宋_GB2312"/>
                      <w:sz w:val="21"/>
                    </w:rPr>
                    <w:t>11.USB接口：2xUSB2.0(支持USB闪存盘，USB麦克风等)</w:t>
                  </w:r>
                </w:p>
                <w:p>
                  <w:pPr>
                    <w:pStyle w:val="null3"/>
                    <w:jc w:val="left"/>
                  </w:pPr>
                  <w:r>
                    <w:rPr>
                      <w:rFonts w:ascii="仿宋_GB2312" w:hAnsi="仿宋_GB2312" w:cs="仿宋_GB2312" w:eastAsia="仿宋_GB2312"/>
                      <w:sz w:val="21"/>
                    </w:rPr>
                    <w:t>12.网络接口：2xRJ45，1x无线:802.11b/g/nWi-Fi。</w:t>
                  </w:r>
                </w:p>
                <w:p>
                  <w:pPr>
                    <w:pStyle w:val="null3"/>
                    <w:jc w:val="left"/>
                  </w:pPr>
                  <w:r>
                    <w:rPr>
                      <w:rFonts w:ascii="仿宋_GB2312" w:hAnsi="仿宋_GB2312" w:cs="仿宋_GB2312" w:eastAsia="仿宋_GB2312"/>
                      <w:sz w:val="21"/>
                    </w:rPr>
                    <w:t>13.电气特性：DC12V，最大功耗54W</w:t>
                  </w:r>
                </w:p>
                <w:p>
                  <w:pPr>
                    <w:pStyle w:val="null3"/>
                    <w:jc w:val="left"/>
                  </w:pPr>
                  <w:r>
                    <w:rPr>
                      <w:rFonts w:ascii="仿宋_GB2312" w:hAnsi="仿宋_GB2312" w:cs="仿宋_GB2312" w:eastAsia="仿宋_GB2312"/>
                      <w:sz w:val="21"/>
                    </w:rPr>
                    <w:t>14.组件内容：高清编解码器x1，全向麦克风（拾音距离：&gt;=5米）x1，红外遥控器x1，电源适配器x1，AC电源线缆x1，HDMI线（1.5米）x2。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视频会商一体机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1.操作系统：Android12。</w:t>
                  </w:r>
                </w:p>
                <w:p>
                  <w:pPr>
                    <w:pStyle w:val="null3"/>
                    <w:jc w:val="both"/>
                  </w:pPr>
                  <w:r>
                    <w:rPr>
                      <w:rFonts w:ascii="仿宋_GB2312" w:hAnsi="仿宋_GB2312" w:cs="仿宋_GB2312" w:eastAsia="仿宋_GB2312"/>
                      <w:sz w:val="21"/>
                    </w:rPr>
                    <w:t>2.处理器：基于64位8核4×Cortex-A76+4×Cortex-A55处理器；RAM4GB；存储器16GBEMMC。</w:t>
                  </w:r>
                </w:p>
                <w:p>
                  <w:pPr>
                    <w:pStyle w:val="null3"/>
                    <w:jc w:val="both"/>
                  </w:pPr>
                  <w:r>
                    <w:rPr>
                      <w:rFonts w:ascii="仿宋_GB2312" w:hAnsi="仿宋_GB2312" w:cs="仿宋_GB2312" w:eastAsia="仿宋_GB2312"/>
                      <w:sz w:val="21"/>
                    </w:rPr>
                    <w:t>3.视频编解码：硬件编解码H.265H.264；支持H.265/H.264/AV1/VP9/AVS2视频解码，最高8K60fps；支持H.264/H.265视频编码，最高8K30fps。</w:t>
                  </w:r>
                </w:p>
                <w:p>
                  <w:pPr>
                    <w:pStyle w:val="null3"/>
                    <w:jc w:val="both"/>
                  </w:pPr>
                  <w:r>
                    <w:rPr>
                      <w:rFonts w:ascii="仿宋_GB2312" w:hAnsi="仿宋_GB2312" w:cs="仿宋_GB2312" w:eastAsia="仿宋_GB2312"/>
                      <w:sz w:val="21"/>
                    </w:rPr>
                    <w:t>4.音频编解码：Audiocontentsamplingratessupported:8kHzto192kHz；Audioencoding:AMR-NB,AMR-WB,AAC,OGG,ADPCM；Audiodecoding:WAV,MP3,MP2,AAC,AMR-NB,AMR-WB,MIDI,Vorbis,APE,AAC-plusv1,AAC-plusv2,FLAC,WMA,ADPCM；</w:t>
                  </w:r>
                </w:p>
                <w:p>
                  <w:pPr>
                    <w:pStyle w:val="null3"/>
                    <w:jc w:val="both"/>
                  </w:pPr>
                  <w:r>
                    <w:rPr>
                      <w:rFonts w:ascii="仿宋_GB2312" w:hAnsi="仿宋_GB2312" w:cs="仿宋_GB2312" w:eastAsia="仿宋_GB2312"/>
                      <w:sz w:val="21"/>
                    </w:rPr>
                    <w:t>5.视频特性：双路最大分辨率4K60fp，或1080p或双路720p；内置1080p高清摄像机；输入1080p；镜头12×光学变焦；云台水平+/-170°,垂直-30~+30°；支持自动白平衡,自动曝光,自动聚焦；支持远端摄像机控制；支持镜像/倒装。</w:t>
                  </w:r>
                </w:p>
                <w:p>
                  <w:pPr>
                    <w:pStyle w:val="null3"/>
                    <w:jc w:val="both"/>
                  </w:pPr>
                  <w:r>
                    <w:rPr>
                      <w:rFonts w:ascii="仿宋_GB2312" w:hAnsi="仿宋_GB2312" w:cs="仿宋_GB2312" w:eastAsia="仿宋_GB2312"/>
                      <w:sz w:val="21"/>
                    </w:rPr>
                    <w:t>6.音频特性：自动回声消除（AEC）；自动增益控制（AGC）；自动噪声抑制（ANS）；支持唇音同步。</w:t>
                  </w:r>
                </w:p>
                <w:p>
                  <w:pPr>
                    <w:pStyle w:val="null3"/>
                    <w:jc w:val="both"/>
                  </w:pPr>
                  <w:r>
                    <w:rPr>
                      <w:rFonts w:ascii="仿宋_GB2312" w:hAnsi="仿宋_GB2312" w:cs="仿宋_GB2312" w:eastAsia="仿宋_GB2312"/>
                      <w:sz w:val="21"/>
                    </w:rPr>
                    <w:t>7.音频输入接口：1×内置麦克风输入；1×麦克风输入（mini卡侬接口），支持幻象供电；1×3.5mm线性输入；1×HDMI内嵌音频输入；1×USB3.0；音频输出接口；1×3.5mm线性输出，1×HDMI内嵌音频输出；1×USB3.0。</w:t>
                  </w:r>
                </w:p>
                <w:p>
                  <w:pPr>
                    <w:pStyle w:val="null3"/>
                    <w:jc w:val="both"/>
                  </w:pPr>
                  <w:r>
                    <w:rPr>
                      <w:rFonts w:ascii="仿宋_GB2312" w:hAnsi="仿宋_GB2312" w:cs="仿宋_GB2312" w:eastAsia="仿宋_GB2312"/>
                      <w:sz w:val="21"/>
                    </w:rPr>
                    <w:t>8.视频输入接口：1×内置高清摄像机，1×HDMI输入，HDMI2.0，最大分辨率4K60fps；</w:t>
                  </w:r>
                </w:p>
                <w:p>
                  <w:pPr>
                    <w:pStyle w:val="null3"/>
                    <w:jc w:val="both"/>
                  </w:pPr>
                  <w:r>
                    <w:rPr>
                      <w:rFonts w:ascii="仿宋_GB2312" w:hAnsi="仿宋_GB2312" w:cs="仿宋_GB2312" w:eastAsia="仿宋_GB2312"/>
                      <w:sz w:val="21"/>
                    </w:rPr>
                    <w:t>9.视频输出接口：2×HDMI，HDMI2.1，支持CEC，最大分辨率4K60fps。</w:t>
                  </w:r>
                </w:p>
                <w:p>
                  <w:pPr>
                    <w:pStyle w:val="null3"/>
                    <w:jc w:val="both"/>
                  </w:pPr>
                  <w:r>
                    <w:rPr>
                      <w:rFonts w:ascii="仿宋_GB2312" w:hAnsi="仿宋_GB2312" w:cs="仿宋_GB2312" w:eastAsia="仿宋_GB2312"/>
                      <w:sz w:val="21"/>
                    </w:rPr>
                    <w:t>10.USB接口：3xUSB3.0</w:t>
                  </w:r>
                </w:p>
                <w:p>
                  <w:pPr>
                    <w:pStyle w:val="null3"/>
                    <w:jc w:val="both"/>
                  </w:pPr>
                  <w:r>
                    <w:rPr>
                      <w:rFonts w:ascii="仿宋_GB2312" w:hAnsi="仿宋_GB2312" w:cs="仿宋_GB2312" w:eastAsia="仿宋_GB2312"/>
                      <w:sz w:val="21"/>
                    </w:rPr>
                    <w:t>11.TF接口：1xTF卡接口</w:t>
                  </w:r>
                </w:p>
                <w:p>
                  <w:pPr>
                    <w:pStyle w:val="null3"/>
                    <w:jc w:val="both"/>
                  </w:pPr>
                  <w:r>
                    <w:rPr>
                      <w:rFonts w:ascii="仿宋_GB2312" w:hAnsi="仿宋_GB2312" w:cs="仿宋_GB2312" w:eastAsia="仿宋_GB2312"/>
                      <w:sz w:val="21"/>
                    </w:rPr>
                    <w:t>12.网络接口：1xRJ45:10/100Base-T</w:t>
                  </w:r>
                </w:p>
                <w:p>
                  <w:pPr>
                    <w:pStyle w:val="null3"/>
                    <w:jc w:val="both"/>
                  </w:pPr>
                  <w:r>
                    <w:rPr>
                      <w:rFonts w:ascii="仿宋_GB2312" w:hAnsi="仿宋_GB2312" w:cs="仿宋_GB2312" w:eastAsia="仿宋_GB2312"/>
                      <w:sz w:val="21"/>
                    </w:rPr>
                    <w:t>13.电气特性：DC12V，最大功耗36W</w:t>
                  </w:r>
                </w:p>
                <w:p>
                  <w:pPr>
                    <w:pStyle w:val="null3"/>
                    <w:jc w:val="both"/>
                  </w:pPr>
                  <w:r>
                    <w:rPr>
                      <w:rFonts w:ascii="仿宋_GB2312" w:hAnsi="仿宋_GB2312" w:cs="仿宋_GB2312" w:eastAsia="仿宋_GB2312"/>
                      <w:sz w:val="21"/>
                    </w:rPr>
                    <w:t>14.组件内容：高清编解码器（内建高清摄像机）x1；红外遥控器x1；电源适配器x1；AC电源线缆x1；HDMI线（1.5米）x2。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24个10/100/1000BASE-T端口（含8Combo口），4个1G/10GBASE-XSFPPlus端口，1个Slot，含2个单模模块；3年硬件质保</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系统终端</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16核酷睿i9-12900F；</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内存容量：</w:t>
                  </w:r>
                  <w:r>
                    <w:rPr>
                      <w:rFonts w:ascii="仿宋_GB2312" w:hAnsi="仿宋_GB2312" w:cs="仿宋_GB2312" w:eastAsia="仿宋_GB2312"/>
                      <w:sz w:val="21"/>
                    </w:rPr>
                    <w:t>≥</w:t>
                  </w:r>
                  <w:r>
                    <w:rPr>
                      <w:rFonts w:ascii="仿宋_GB2312" w:hAnsi="仿宋_GB2312" w:cs="仿宋_GB2312" w:eastAsia="仿宋_GB2312"/>
                      <w:sz w:val="21"/>
                    </w:rPr>
                    <w:t>32GB；</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硬盘容量：</w:t>
                  </w:r>
                  <w:r>
                    <w:rPr>
                      <w:rFonts w:ascii="仿宋_GB2312" w:hAnsi="仿宋_GB2312" w:cs="仿宋_GB2312" w:eastAsia="仿宋_GB2312"/>
                      <w:sz w:val="21"/>
                    </w:rPr>
                    <w:t>2T机械/1T固态；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含显示终端</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系统显示终端</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98寸系统显示终端，含安卓、Windows操作系统</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6U机柜</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约</w:t>
                  </w:r>
                  <w:r>
                    <w:rPr>
                      <w:rFonts w:ascii="仿宋_GB2312" w:hAnsi="仿宋_GB2312" w:cs="仿宋_GB2312" w:eastAsia="仿宋_GB2312"/>
                      <w:sz w:val="21"/>
                    </w:rPr>
                    <w:t>550X400x300(cm)</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配套辅材</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光纤、网线、标签、扎带</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安装调试、系统调试、维保</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含</w:t>
                  </w:r>
                  <w:r>
                    <w:rPr>
                      <w:rFonts w:ascii="仿宋_GB2312" w:hAnsi="仿宋_GB2312" w:cs="仿宋_GB2312" w:eastAsia="仿宋_GB2312"/>
                      <w:sz w:val="21"/>
                    </w:rPr>
                    <w:t>3年上门服务费，运营商网络、防火墙、交换机等网络设备调试；</w:t>
                  </w:r>
                  <w:r>
                    <w:rPr>
                      <w:rFonts w:ascii="仿宋_GB2312" w:hAnsi="仿宋_GB2312" w:cs="仿宋_GB2312" w:eastAsia="仿宋_GB2312"/>
                      <w:sz w:val="21"/>
                    </w:rPr>
                    <w:t>"陕西省矿山安全风险监测预警系统""煤矿工业视频远程巡查联网系统""复合灾害预警系统"等</w:t>
                  </w:r>
                  <w:r>
                    <w:rPr>
                      <w:rFonts w:ascii="仿宋_GB2312" w:hAnsi="仿宋_GB2312" w:cs="仿宋_GB2312" w:eastAsia="仿宋_GB2312"/>
                      <w:sz w:val="21"/>
                    </w:rPr>
                    <w:t>应用</w:t>
                  </w:r>
                  <w:r>
                    <w:rPr>
                      <w:rFonts w:ascii="仿宋_GB2312" w:hAnsi="仿宋_GB2312" w:cs="仿宋_GB2312" w:eastAsia="仿宋_GB2312"/>
                      <w:sz w:val="21"/>
                    </w:rPr>
                    <w:t>系统</w:t>
                  </w:r>
                  <w:r>
                    <w:rPr>
                      <w:rFonts w:ascii="仿宋_GB2312" w:hAnsi="仿宋_GB2312" w:cs="仿宋_GB2312" w:eastAsia="仿宋_GB2312"/>
                      <w:sz w:val="21"/>
                    </w:rPr>
                    <w:t>网络</w:t>
                  </w:r>
                  <w:r>
                    <w:rPr>
                      <w:rFonts w:ascii="仿宋_GB2312" w:hAnsi="仿宋_GB2312" w:cs="仿宋_GB2312" w:eastAsia="仿宋_GB2312"/>
                      <w:sz w:val="21"/>
                    </w:rPr>
                    <w:t>接入</w:t>
                  </w:r>
                  <w:r>
                    <w:rPr>
                      <w:rFonts w:ascii="仿宋_GB2312" w:hAnsi="仿宋_GB2312" w:cs="仿宋_GB2312" w:eastAsia="仿宋_GB2312"/>
                      <w:sz w:val="21"/>
                    </w:rPr>
                    <w:t>配置、</w:t>
                  </w:r>
                  <w:r>
                    <w:rPr>
                      <w:rFonts w:ascii="仿宋_GB2312" w:hAnsi="仿宋_GB2312" w:cs="仿宋_GB2312" w:eastAsia="仿宋_GB2312"/>
                      <w:sz w:val="21"/>
                    </w:rPr>
                    <w:t>测试</w:t>
                  </w:r>
                  <w:r>
                    <w:rPr>
                      <w:rFonts w:ascii="仿宋_GB2312" w:hAnsi="仿宋_GB2312" w:cs="仿宋_GB2312" w:eastAsia="仿宋_GB2312"/>
                      <w:sz w:val="21"/>
                    </w:rPr>
                    <w:t>。</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工期：合同签订后20日历天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待项目初验结束后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待项目终验结束后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具有履行合同所必须的设备和专业技术能力的说明及承诺；</w:t>
            </w:r>
          </w:p>
        </w:tc>
        <w:tc>
          <w:tcPr>
            <w:tcW w:type="dxa" w:w="1661"/>
          </w:tcPr>
          <w:p>
            <w:pPr>
              <w:pStyle w:val="null3"/>
            </w:pPr>
            <w:r>
              <w:rPr>
                <w:rFonts w:ascii="仿宋_GB2312" w:hAnsi="仿宋_GB2312" w:cs="仿宋_GB2312" w:eastAsia="仿宋_GB2312"/>
              </w:rPr>
              <w:t>具有履行合同所必须的设备和专业技术能力.docx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供应商须具有电子与智能化工程专业承包二级及以上资质，同时具有有效的安全生产许可证；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控股管理关系.docx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所投产品符合使用需求，配置完整合理，技术参数清晰明确，完全符合、响应磋商文件要求，没有负偏离的得10分；参数负偏离一项扣1分，扣完为止。 备注：提供充足的佐证材料，予以证明参数的技术响应性，包括但不限于检测报告、试验报告、产品彩页、厂家出具的技术证明文件、功能截图等。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对采购人需求理解透彻，明确系统的建设要求和目标，了解系统建设现状及现场需求，完全符合采购人实际，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 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技术及实施方案</w:t>
            </w:r>
          </w:p>
        </w:tc>
        <w:tc>
          <w:tcPr>
            <w:tcW w:type="dxa" w:w="2492"/>
          </w:tcPr>
          <w:p>
            <w:pPr>
              <w:pStyle w:val="null3"/>
            </w:pPr>
            <w:r>
              <w:rPr>
                <w:rFonts w:ascii="仿宋_GB2312" w:hAnsi="仿宋_GB2312" w:cs="仿宋_GB2312" w:eastAsia="仿宋_GB2312"/>
              </w:rPr>
              <w:t>供应商提供针对本项目的技术及实施方案，包含系统实施方案、网络部署方案、网络架构方案、扩展性方案等。 方案内容全面，合理实用，能够确保安全可靠、高速稳定的信息传输，得15分；评审内容每缺一项扣3分，评审内容有缺陷未完全响应评审标准的扣0.5-2.5分，扣完为止。未提供不得分。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系统设计方案</w:t>
            </w:r>
          </w:p>
        </w:tc>
        <w:tc>
          <w:tcPr>
            <w:tcW w:type="dxa" w:w="2492"/>
          </w:tcPr>
          <w:p>
            <w:pPr>
              <w:pStyle w:val="null3"/>
            </w:pPr>
            <w:r>
              <w:rPr>
                <w:rFonts w:ascii="仿宋_GB2312" w:hAnsi="仿宋_GB2312" w:cs="仿宋_GB2312" w:eastAsia="仿宋_GB2312"/>
              </w:rPr>
              <w:t>系统功能完整、准确，架构清晰明确、稳定性、兼容性良好，满足采购人建设要求，得6分；评审内容每缺一项扣2分，评审内容有缺陷未完全响应评审标准的扣0.5-1.5分，扣完为止。未提供不得分。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供应商提供针对本项目的项目进度保障措施，包含进度计划、各阶段进度控制保证措施、突发情况的应急措施等。 进度计划清晰合理，各阶段保证措施切实到位得6分；评审内容每缺一项扣2分，评审内容有缺陷未完全响应评审标准的扣0.5-1.5分，扣完为止。未提供不得分。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供应商针对本项目制定质量保障措施。包括质量规划、目标、保障措施、未达到质量标准的改进措施等。 方案内容全面，完整性高，实施步骤清晰、合理，能够紧扣项目实际情况，得6分；评审内容每缺一项扣2分，评审内容有缺陷未完全响应评审标准的扣0.5-1.5分，扣完为止。未提供不得分。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供应商针对本项目提供安全保障措施，保障陕西省应急管理厅和国家矿山安全监察局陕西局网络安全性，防止对应用层的恶意攻击和威胁。 方案内容完善、合理可行，能够确保系统网络安全，得6分；评审内容每缺一项扣2分，评审内容有缺陷未完全响应评审标准的扣0.5-1.5分，扣完为止。未提供不得分。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供应商针对本项目须确保项目能按时、按质、完成，并提供达到项目建设预期效果的服务承诺和保证措施，且有具体的技术服务措施、后期跟进服务能力。 承诺合理全面、完整性高，合理，能够紧扣项目实际情况，得5分；评审内容每缺一项扣1分，评审内容有缺陷未完全响应评审标准的扣0.5-0.9分，扣完为止。未提供不得分。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企业实力①</w:t>
            </w:r>
          </w:p>
        </w:tc>
        <w:tc>
          <w:tcPr>
            <w:tcW w:type="dxa" w:w="2492"/>
          </w:tcPr>
          <w:p>
            <w:pPr>
              <w:pStyle w:val="null3"/>
            </w:pPr>
            <w:r>
              <w:rPr>
                <w:rFonts w:ascii="仿宋_GB2312" w:hAnsi="仿宋_GB2312" w:cs="仿宋_GB2312" w:eastAsia="仿宋_GB2312"/>
              </w:rPr>
              <w:t>1.具备ITSS信息技术服务认证三级及以上，计2分； 2.具备信息系统建设和服务能力认证（CS2级）及以上，计2分； 3.具备ISO20000信息技术服务体系、ISO27001信息安全管理体系，每提供1份计1分，满分2分； 备注：以上证书须提供证书复印件，未提供不计分。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企业实力②</w:t>
            </w:r>
          </w:p>
        </w:tc>
        <w:tc>
          <w:tcPr>
            <w:tcW w:type="dxa" w:w="2492"/>
          </w:tcPr>
          <w:p>
            <w:pPr>
              <w:pStyle w:val="null3"/>
            </w:pPr>
            <w:r>
              <w:rPr>
                <w:rFonts w:ascii="仿宋_GB2312" w:hAnsi="仿宋_GB2312" w:cs="仿宋_GB2312" w:eastAsia="仿宋_GB2312"/>
              </w:rPr>
              <w:t>提供视频会商系统设备生产制造商接入国家矿山安全监察局陕西局视频会商系统接入承诺书及证明截图，得3分。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项目经理须具有相关专业高级工程师职称证书或信息系统项目管理师专业技术资格证书，得2分；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供应商提供针对本项目拟投入的工作人员配备的情况说明及经验能力证明材料，提供拟派的人员配备清单（包含成员数量、成员姓名、岗位职责、工作经验等）。 项目团队人员充足、职责明确、组成结构合理、人员配合合理、证明材料齐全、经验丰富得5分；以上方面中每缺少一方面内容1分；每有一处内容与实际需求不符或不满足要求扣0.5-0.9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提供供应商2021年1月1日至今（以合同签订时间为准），供应商具有类似服务业绩的，每提供一份计1分，满分5分。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供应商根据采购需求，提供项目售后服务方案，包括但不限于售后服务流程、售后服务内容、响应时间、驻场人员配置、售后服务质量监督等。 服务内容全面、合理，能够紧扣项目实际情况，得5分；评审内容每缺一项扣1分，评审内容有缺陷未完全响应评审标准的扣0.5-0.9分，扣完为止。未提供不得分。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供应商根据采购需求，提供项目培训方案，包括不限于培训组织架构、培训对象和内容、培训方式、培训流程、培训日程安排等。 内容全面、合理，能够紧扣项目实际情况，得5分；评审内容每缺一项扣1分，评审内容有缺陷未完全响应评审标准的扣0.5-0.9分，扣完为止。未提供不得分。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