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版本号：DQA-2025036-ZB20250512001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陕西省国土空间专项规划体系构建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DQA-2025036-ZB</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陕西省国土空间专项规划体系构建</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DQA-2025036-ZB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陕西省国土空间专项规划体系构建</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国家全面推进国土空间规划体系建设的宏观战略布局下，根据《关于建立国土空间规划体系并监督实施的若干意见》《关于加快建立并监督实施陕西省国土空间规划体系的实施意见》《陕西省国土空间规划（2021—2035年）》等文件和规划，结合陕西实际，研究制定陕西省国土空间专项规划体系的总体框架，由省自然资源厅牵头，相关部门、各地市人民政府配合，开展《陕西省国土空间专项规划体系构建》编制工作，提高全省国土空间治理体系和治理能力现代化水平。 规划范围：本次规划范围为陕西省行政辖区内全部国土空间，总面积20.56万平方公里。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11、特殊资质要求：提供城乡规划编制乙级及以上资质证书。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国家全面推进国土空间规划体系建设的宏观战略布局下，根据《关于建立国土空间规划体系并监督实施的若干意见》《关于加快建立并监督实施陕西省国土空间规划体系的实施意见》《陕西省国土空间规划（2021—2035年）》等文件和规划，结合陕西实际，研究制定陕西省国土空间专项规划体系的总体框架，由省自然资源厅牵头，相关部门、各地市人民政府配合，开展《陕西省国土空间专项规划体系构建》编制工作，提高全省国土空间治理体系和治理能力现代化水平。 规划范围：本次规划范围为陕西省行政辖区内全部国土空间，总面积20.56万平方公里。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国土空间专项规划体系构建项目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标的名称：国土空间专项规划体系构建项目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具体工作内容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1）完成陕西省国土空间专项规划编制目录清单及技术导则研究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2）完成陕西省国土空间专项规划审查技术要点研究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3）完成陕西省“十五五”国民经济和社会发展规划与国土空间规划街接保障机制研究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4）完成陕西省城镇开发边界管理办法研究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5）完成陕西省2025年度城镇开发边界调整技术指导及汇总报部备案。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1）生态优先，绿色发展。全面落实生态文明建设和高质量发展要求，坚持保护优先、节约集约，严守粮食安全、生态安全、国土安全底线，引导城乡和区域绿色低碳发展。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2）统筹协调，分类指导。明确底图底数、技术标准、规划期限、汇交平台等编制基础要求，根据不同专项规划空间利用的特点，分类指导专项规划编制和审查。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3）突出空间，强化管控。强化专项规划的空间属性，明确空间管控要求，要求规划项目定点定位，增强专项规划的可实施性和对详细规划的传导指引。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4）面向应用，重在衔接。明确专项成果编制、审查的通用性要求，强化对总体规划战略布局、刚性管控要求、约束性指标的细化落实和影响分析。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3、成果要</w:t>
            </w:r>
            <w:r>
              <w:rPr>
                <w:rFonts w:ascii="仿宋_GB2312" w:hAnsi="仿宋_GB2312" w:cs="仿宋_GB2312" w:eastAsia="仿宋_GB2312"/>
                <w:sz w:val="21"/>
              </w:rPr>
              <w:t>求</w:t>
            </w:r>
          </w:p>
          <w:p>
            <w:pPr>
              <w:pStyle w:val="null3"/>
              <w:ind w:firstLine="480"/>
              <w:jc w:val="left"/>
            </w:pPr>
            <w:r>
              <w:rPr>
                <w:rFonts w:ascii="仿宋_GB2312" w:hAnsi="仿宋_GB2312" w:cs="仿宋_GB2312" w:eastAsia="仿宋_GB2312"/>
                <w:sz w:val="24"/>
                <w:color w:val="000000"/>
              </w:rPr>
              <w:t>按照工作内容形成</w:t>
            </w:r>
            <w:r>
              <w:rPr>
                <w:rFonts w:ascii="仿宋_GB2312" w:hAnsi="仿宋_GB2312" w:cs="仿宋_GB2312" w:eastAsia="仿宋_GB2312"/>
                <w:sz w:val="24"/>
                <w:color w:val="000000"/>
              </w:rPr>
              <w:t>5个研究报告，包括：</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陕西省国土空间专项规划编制目录清单及技术导则</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陕西省国土空间专项规划审查技术要点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“十五五”国民经济和社会发展规划与国土空间规划街接保障机制研究报告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陕西省城镇开发边界管理实施细则政策研究成果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2025年度城镇开发边界调整技术审查要点和局部优化成果</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w:t>
            </w:r>
            <w:r>
              <w:rPr>
                <w:rFonts w:ascii="仿宋_GB2312" w:hAnsi="仿宋_GB2312" w:cs="仿宋_GB2312" w:eastAsia="仿宋_GB2312"/>
                <w:sz w:val="21"/>
              </w:rPr>
              <w:t>其他要求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1）质量要求：通过</w:t>
            </w:r>
            <w:r>
              <w:rPr>
                <w:rFonts w:ascii="仿宋_GB2312" w:hAnsi="仿宋_GB2312" w:cs="仿宋_GB2312" w:eastAsia="仿宋_GB2312"/>
                <w:sz w:val="24"/>
                <w:color w:val="000000"/>
              </w:rPr>
              <w:t>省</w:t>
            </w:r>
            <w:r>
              <w:rPr>
                <w:rFonts w:ascii="仿宋_GB2312" w:hAnsi="仿宋_GB2312" w:cs="仿宋_GB2312" w:eastAsia="仿宋_GB2312"/>
                <w:sz w:val="24"/>
                <w:color w:val="000000"/>
              </w:rPr>
              <w:t>自然资源厅审查，并按要求将有关成果报自然资源部备案。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2）服务要求：在陕西省省内完成，及时响应甲方相关需求。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3）安全要求：按相关管理规定执行，确保数据和过程成果安全。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4）时限要求：2025年9月前形成成果初稿，10月前完成成果。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1.知识产权归属和处理方式： （1）知识产权归属：本项目产生的专利、商标、著作权等所有知识产权均归采购人，中标人需在知识产权产生后 15 个工作日内提交资料并协助办理相关手续。 （2）使用限制：中标人仅可在合同约定范围内使用相关知识产权及技术资料，如需用于其他目的，须提前 10 个工作日获采购人书面同意。 （3）侵权责任：中标人侵犯采购人或第三方知识产权，采购人有权要求立即停止侵权、消除影响、赔偿全部损失（含维权费用），并支付合同金额 20% 的违约金，情节严重可解除合同。 （4）技术资料管理：中标人提供的技术资料使用权归采购人，合同终止后 10 个工作日内，中标人需返还或按要求销毁资料，并提供证明。 （5）争议解决：因本条款产生争议，先协商；协商不成，向采购人所在地法院诉讼。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服务期满后，由中标人向采购人递交验收通知书，经采购人确认后，组织中标人进行项目整体验收。验收合格后，填写政府采购项目验收单作为对本次服务的最终认可。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本合同生效后，中标人向采购人提供与合同总金额等额的预付款保函</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成果通过专家验收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供应商需要在线提交所有通过电子化交易平台实施的政府采购项目的投标文件，同时，线下提交纸质投标文件正本壹份、副本壹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文件，发送至邮箱deqinjxm@126.com（邮件命名：项目编号）；投标供应商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供应商无需更换交纳凭证，由采购代理机构统一提供。（4）未按指定账户提交的，我公司将退回，投标供应商须在文件递交截止时间前按照指定账户再次提交。 3、合同价款：合同总价一次性包死，不受市场价格变化因素的影响。除本合同总金额外，采购人不再支付任何其他费用。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特殊资质要求</w:t>
            </w:r>
          </w:p>
        </w:tc>
        <w:tc>
          <w:tcPr>
            <w:tcW w:type="dxa" w:w="3322"/>
          </w:tcPr>
          <w:p>
            <w:pPr>
              <w:pStyle w:val="null3"/>
            </w:pPr>
            <w:r>
              <w:rPr>
                <w:rFonts w:ascii="仿宋_GB2312" w:hAnsi="仿宋_GB2312" w:cs="仿宋_GB2312" w:eastAsia="仿宋_GB2312"/>
              </w:rPr>
              <w:t>提供城乡规划编制乙级及以上资质证书。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同类或相近项目业绩</w:t>
            </w:r>
          </w:p>
        </w:tc>
        <w:tc>
          <w:tcPr>
            <w:tcW w:type="dxa" w:w="2492"/>
          </w:tcPr>
          <w:p>
            <w:pPr>
              <w:pStyle w:val="null3"/>
            </w:pPr>
            <w:r>
              <w:rPr>
                <w:rFonts w:ascii="仿宋_GB2312" w:hAnsi="仿宋_GB2312" w:cs="仿宋_GB2312" w:eastAsia="仿宋_GB2312"/>
              </w:rPr>
              <w:t>投标供应商自2018年1月1日至今承担过的同类或相近项目业绩：每个得3分，最高得15分； 注：案例以提供的合同（包括合同首页、项目内容描述页、签署页和日期页）、或中标（成交）通知书、或任务书、或任务文件等证明材料复印件为准，否则不得分。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拟任本项目的项目负责人持有行政管理部门颁发的国土空间规划、或土地规划设计、或测绘科学与技术、或城市（城乡）规划类等相关专业，任一专业高级工程师及以上专业技术职称资格证书的，得5分。②拟派本项目主要技术人员（不包括项目负责人）中具备以下专业：土地规划、国土空间规划、城市（乡）规划、土地资源管理、测绘工程、人文地理学、农业资源利用、地图学与地理信息系统等相关专业。每具有一个高级职称的得2分，每具有一个中级职称的得1分，本项目最高得分为10分。如一人有多个不同等级职称的，按等级较高的职称评审；如一人具有多个专业职称的，按一个专业职称评审。 注：拟派人员应提供证书复印件，和近一年内至少3个月投标供应商为其缴纳的社保证明。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团队架构</w:t>
            </w:r>
          </w:p>
        </w:tc>
        <w:tc>
          <w:tcPr>
            <w:tcW w:type="dxa" w:w="2492"/>
          </w:tcPr>
          <w:p>
            <w:pPr>
              <w:pStyle w:val="null3"/>
            </w:pPr>
            <w:r>
              <w:rPr>
                <w:rFonts w:ascii="仿宋_GB2312" w:hAnsi="仿宋_GB2312" w:cs="仿宋_GB2312" w:eastAsia="仿宋_GB2312"/>
              </w:rPr>
              <w:t>根据投标供应商为本项目拟派的团队架构是否合理进行评分 ①专业配备齐全，人员架构合理；得8分。 ②专业配备较齐全，人员架构较合理；得5分。 ③专业配备一般，人员一般；得2分。 ④未提供，或过于简单无法评价的，不得分。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对项目内容、要求理解和认识</w:t>
            </w:r>
          </w:p>
        </w:tc>
        <w:tc>
          <w:tcPr>
            <w:tcW w:type="dxa" w:w="2492"/>
          </w:tcPr>
          <w:p>
            <w:pPr>
              <w:pStyle w:val="null3"/>
            </w:pPr>
            <w:r>
              <w:rPr>
                <w:rFonts w:ascii="仿宋_GB2312" w:hAnsi="仿宋_GB2312" w:cs="仿宋_GB2312" w:eastAsia="仿宋_GB2312"/>
              </w:rPr>
              <w:t>根据投标供应商对项目内容、要求的理解和认识进行综合评分 ①投标供应商对项目内容理解充分，项目要求响应准确，得12分； ②投标供应商项目内容理解较为充分，项目要求响应较为准确，得8分； ③投标供应商对项目内容理解基本充分，项目要求响应基本准确，得4分； ④未提供，或过于简单无法评价的，不得分。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服务思路</w:t>
            </w:r>
          </w:p>
        </w:tc>
        <w:tc>
          <w:tcPr>
            <w:tcW w:type="dxa" w:w="2492"/>
          </w:tcPr>
          <w:p>
            <w:pPr>
              <w:pStyle w:val="null3"/>
            </w:pPr>
            <w:r>
              <w:rPr>
                <w:rFonts w:ascii="仿宋_GB2312" w:hAnsi="仿宋_GB2312" w:cs="仿宋_GB2312" w:eastAsia="仿宋_GB2312"/>
              </w:rPr>
              <w:t>根据投标供应商对陕西省国土空间专项规划体系构建思路进行综合评分①思路清晰，实施可做性强，得14分；②思路较清晰，实施可做性较强，得10分；③思路基本清晰，实施可做性一般，得6分；④思路较差，实施可做性较差，得2分；⑤未提供，或过于简单无法评价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根据投标供应商项目质量保障措施是否具体完善进行评分。 ①质量保障措施具体完善，得8分； ②质量保障措施较为具体完善，得5分； ③质量保障措施基本具体完善，得2分； ④未提供，或过于简单无法评价的，不得分。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进度安排及控制</w:t>
            </w:r>
          </w:p>
        </w:tc>
        <w:tc>
          <w:tcPr>
            <w:tcW w:type="dxa" w:w="2492"/>
          </w:tcPr>
          <w:p>
            <w:pPr>
              <w:pStyle w:val="null3"/>
            </w:pPr>
            <w:r>
              <w:rPr>
                <w:rFonts w:ascii="仿宋_GB2312" w:hAnsi="仿宋_GB2312" w:cs="仿宋_GB2312" w:eastAsia="仿宋_GB2312"/>
              </w:rPr>
              <w:t>根据投标供应商进度控制计划是否合理进行评分 ①进度控制计划合理可行，得8分； ②进度控制计划较为合理可行，得5分； ③进度控制计划基本合理可行，得2分； ④未提供，或过于简单无法评价的，不得分。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根据投标供应商组织协调是否完整、合理进行评分 ①组织协调完整合理，得5分； ②组织协调较完整合理，得3分； ③组织协调基本完整合理，得2分； ④未提供，或过于简单无法评价的，不得分。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