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版本号：SNJZ-2025-10920250509001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2025年团省委新媒体平台运营维护项目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SNJZ-2025-109</w:t>
      </w:r>
      <w:r>
        <w:br/>
      </w:r>
      <w:r>
        <w:br/>
      </w:r>
      <w:r>
        <w:br/>
      </w:r>
    </w:p>
    <w:p>
      <w:pPr>
        <w:pStyle w:val="null3"/>
        <w:jc w:val="center"/>
        <w:outlineLvl w:val="2"/>
      </w:pPr>
      <w:r>
        <w:rPr>
          <w:rFonts w:ascii="仿宋_GB2312" w:hAnsi="仿宋_GB2312" w:cs="仿宋_GB2312" w:eastAsia="仿宋_GB2312"/>
          <w:sz w:val="28"/>
          <w:b/>
        </w:rPr>
        <w:t>团省委机关</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团省委机关</w:t>
      </w:r>
      <w:r>
        <w:rPr>
          <w:rFonts w:ascii="仿宋_GB2312" w:hAnsi="仿宋_GB2312" w:cs="仿宋_GB2312" w:eastAsia="仿宋_GB2312"/>
        </w:rPr>
        <w:t>委托，拟对</w:t>
      </w:r>
      <w:r>
        <w:rPr>
          <w:rFonts w:ascii="仿宋_GB2312" w:hAnsi="仿宋_GB2312" w:cs="仿宋_GB2312" w:eastAsia="仿宋_GB2312"/>
        </w:rPr>
        <w:t>2025年团省委新媒体平台运营维护项目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2025年团省委新媒体平台运营维护项目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信息技术服务及网络平台管理，促进团省委所属的网站、微博、微信、抖音等媒体平台融合发展，进一步拓宽陕西共青团的宣传辐射范围和影响力，打造陕西共青团新媒体矩阵。确保团省委新媒体平台运营安全稳定，不断提升平台影响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采购包1（2025年团省委新媒体平台运营维护）：属于专门面向中小企业采购。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2、授权书：法定代表人参加磋商时，提供法定代表人证明书；授权代表参加磋商时，提供法定代表人授权书；非法人单位参照执行。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3、财务状况报告：法人提供经审计的2023年度或2024年度的财务报告或提交磋商响应文件截止时间前一年内银行资信证明；或政府采购信用担保机构出具的投标担保函。</w:t>
      </w:r>
    </w:p>
    <w:p>
      <w:pPr>
        <w:pStyle w:val="null3"/>
      </w:pPr>
      <w:r>
        <w:rPr>
          <w:rFonts w:ascii="仿宋_GB2312" w:hAnsi="仿宋_GB2312" w:cs="仿宋_GB2312" w:eastAsia="仿宋_GB2312"/>
        </w:rPr>
        <w:t>4、税收缴纳证明：提供响应文件递交截止时间前近一年内至少一个月已缴纳的纳税凭据或完税证明；依法免税的供应商应提供相关文件证明。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响应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6、提供具有履行本合同所必需的设备和专业技术能力的承诺：提供具有履行本合同所必需的设备和专业技术能力的承诺。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团省委机关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西安市红缨路158号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共青团陕西省委经办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029-88403732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崔斌、程钰、王力、鲁方方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收到成交通知书后十(10)个日历日内，按照原国家计委《招标代理服务收费管理暂行办法》(计价格[2002]1980号)及发改办价格[2003]857号文件规定的收费标准，向陕西教育招标有限责任公司交纳招标代理服务费,服务费按照服务期一次性收取，招标代理服务费采用现金、电汇或银行转账方式交纳。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团省委机关</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团省委机关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团省委机关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项目完成，供应商按约定完成所有服务，且服务质量无争议，视为验收合格。验收依据：合同文本，磋商文件，磋商响应文件，国内相应标准、规范。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联系人：崔斌 程钰</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息技术服务及网络平台管理，促进团省委所属的网站、微博、微信、抖音等媒体平台融合发展，进一步拓宽陕西共青团的宣传辐射范围和影响力，打造陕西共青团新媒体矩阵。确保团省委新媒体平台运营安全稳定，不断提升平台影响力。项目预算：550,000.00元/年（含考核）。</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新媒体平台运行维护服务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标的名称：新媒体平台运行维护服务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本项目</w:t>
            </w:r>
            <w:r>
              <w:rPr>
                <w:rFonts w:ascii="仿宋_GB2312" w:hAnsi="仿宋_GB2312" w:cs="仿宋_GB2312" w:eastAsia="仿宋_GB2312"/>
                <w:sz w:val="24"/>
              </w:rPr>
              <w:t>为进一步压实青少年政治引领工作，促进陕西共青团媒体融合发展，不断拓宽陕西共青团的宣传辐射范围和影响力，增强对青少年的吸引力和感染力，打造陕西共青团新媒体矩阵。共青团陕西省委拟就</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年陕西青少年新媒体事业发展中心运维交于专业机构负责，运维</w:t>
            </w:r>
            <w:r>
              <w:rPr>
                <w:rFonts w:ascii="仿宋_GB2312" w:hAnsi="仿宋_GB2312" w:cs="仿宋_GB2312" w:eastAsia="仿宋_GB2312"/>
                <w:sz w:val="24"/>
              </w:rPr>
              <w:t>截止时间为</w:t>
            </w:r>
            <w:r>
              <w:rPr>
                <w:rFonts w:ascii="仿宋_GB2312" w:hAnsi="仿宋_GB2312" w:cs="仿宋_GB2312" w:eastAsia="仿宋_GB2312"/>
                <w:sz w:val="24"/>
              </w:rPr>
              <w:t>2025年12月31日</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二、各媒体平台定位及运维要求</w:t>
            </w:r>
          </w:p>
          <w:p>
            <w:pPr>
              <w:pStyle w:val="null3"/>
              <w:ind w:firstLine="480"/>
              <w:jc w:val="both"/>
            </w:pPr>
            <w:r>
              <w:rPr>
                <w:rFonts w:ascii="仿宋_GB2312" w:hAnsi="仿宋_GB2312" w:cs="仿宋_GB2312" w:eastAsia="仿宋_GB2312"/>
                <w:sz w:val="24"/>
              </w:rPr>
              <w:t>立足于不同的职能定位，团省委所属的网站、微博、微信、抖音、视频号、</w:t>
            </w:r>
            <w:r>
              <w:rPr>
                <w:rFonts w:ascii="仿宋_GB2312" w:hAnsi="仿宋_GB2312" w:cs="仿宋_GB2312" w:eastAsia="仿宋_GB2312"/>
                <w:sz w:val="24"/>
              </w:rPr>
              <w:t>B站、</w:t>
            </w:r>
            <w:r>
              <w:rPr>
                <w:rFonts w:ascii="仿宋_GB2312" w:hAnsi="仿宋_GB2312" w:cs="仿宋_GB2312" w:eastAsia="仿宋_GB2312"/>
                <w:sz w:val="24"/>
              </w:rPr>
              <w:t>小红书</w:t>
            </w:r>
            <w:r>
              <w:rPr>
                <w:rFonts w:ascii="仿宋_GB2312" w:hAnsi="仿宋_GB2312" w:cs="仿宋_GB2312" w:eastAsia="仿宋_GB2312"/>
                <w:sz w:val="24"/>
              </w:rPr>
              <w:t>平台，紧紧围绕坚持服务党的中心工作、坚持服务青少年成长，在统领陕西全团事业发展、青少年思想引领、青少年成长成才等方面各有侧重。要求运维方结合各媒体平台的功能优势，以分众发展，突出特色为导向，助力各平台进一步凸显亮点，促进全省共青团在思想政治引领、服务青少年成长发展上取得实效，服务全省网信事业发展。</w:t>
            </w:r>
          </w:p>
          <w:p>
            <w:pPr>
              <w:pStyle w:val="null3"/>
              <w:ind w:firstLine="480"/>
              <w:jc w:val="both"/>
            </w:pPr>
            <w:r>
              <w:rPr>
                <w:rFonts w:ascii="仿宋_GB2312" w:hAnsi="仿宋_GB2312" w:cs="仿宋_GB2312" w:eastAsia="仿宋_GB2312"/>
                <w:sz w:val="24"/>
              </w:rPr>
              <w:t>（一）各平台定位</w:t>
            </w:r>
          </w:p>
          <w:p>
            <w:pPr>
              <w:pStyle w:val="null3"/>
              <w:ind w:firstLine="482"/>
              <w:jc w:val="both"/>
            </w:pPr>
            <w:r>
              <w:rPr>
                <w:rFonts w:ascii="仿宋_GB2312" w:hAnsi="仿宋_GB2312" w:cs="仿宋_GB2312" w:eastAsia="仿宋_GB2312"/>
                <w:sz w:val="24"/>
                <w:b/>
              </w:rPr>
              <w:t>1.“陕西共青团”网站：</w:t>
            </w:r>
            <w:r>
              <w:rPr>
                <w:rFonts w:ascii="仿宋_GB2312" w:hAnsi="仿宋_GB2312" w:cs="仿宋_GB2312" w:eastAsia="仿宋_GB2312"/>
                <w:sz w:val="24"/>
              </w:rPr>
              <w:t>共青团陕西省委官方网站，是陕西共青团思想引领、政策发布、品牌服务展示的集合性平台，承担着信息公开、团务公开的重要职能。</w:t>
            </w:r>
          </w:p>
          <w:p>
            <w:pPr>
              <w:pStyle w:val="null3"/>
              <w:ind w:firstLine="482"/>
              <w:jc w:val="both"/>
            </w:pPr>
            <w:r>
              <w:rPr>
                <w:rFonts w:ascii="仿宋_GB2312" w:hAnsi="仿宋_GB2312" w:cs="仿宋_GB2312" w:eastAsia="仿宋_GB2312"/>
                <w:sz w:val="24"/>
                <w:b/>
              </w:rPr>
              <w:t>2.“三秦青年”微博平台：</w:t>
            </w:r>
            <w:r>
              <w:rPr>
                <w:rFonts w:ascii="仿宋_GB2312" w:hAnsi="仿宋_GB2312" w:cs="仿宋_GB2312" w:eastAsia="仿宋_GB2312"/>
                <w:sz w:val="24"/>
              </w:rPr>
              <w:t>团省委日常重要信息、重大活动即时传达的媒体平台。作为舆论主战场承担应对、舆论引导等重要职能。</w:t>
            </w:r>
          </w:p>
          <w:p>
            <w:pPr>
              <w:pStyle w:val="null3"/>
              <w:ind w:firstLine="482"/>
              <w:jc w:val="both"/>
            </w:pPr>
            <w:r>
              <w:rPr>
                <w:rFonts w:ascii="仿宋_GB2312" w:hAnsi="仿宋_GB2312" w:cs="仿宋_GB2312" w:eastAsia="仿宋_GB2312"/>
                <w:sz w:val="24"/>
                <w:b/>
              </w:rPr>
              <w:t>3.“三秦青年”微信公众号：</w:t>
            </w:r>
            <w:r>
              <w:rPr>
                <w:rFonts w:ascii="仿宋_GB2312" w:hAnsi="仿宋_GB2312" w:cs="仿宋_GB2312" w:eastAsia="仿宋_GB2312"/>
                <w:sz w:val="24"/>
              </w:rPr>
              <w:t>团省委重要工作信息、社会热点信息传达、重点活动直播及服务青年成长成才的重要平台。在团省委思想引导、凝聚青年、服务青年中，展现陕西共青团的态度、温度和高度。</w:t>
            </w:r>
          </w:p>
          <w:p>
            <w:pPr>
              <w:pStyle w:val="null3"/>
              <w:ind w:firstLine="482"/>
              <w:jc w:val="both"/>
            </w:pPr>
            <w:r>
              <w:rPr>
                <w:rFonts w:ascii="仿宋_GB2312" w:hAnsi="仿宋_GB2312" w:cs="仿宋_GB2312" w:eastAsia="仿宋_GB2312"/>
                <w:sz w:val="24"/>
                <w:b/>
              </w:rPr>
              <w:t>4.“三秦青年”抖音、视频号、B站、</w:t>
            </w:r>
            <w:r>
              <w:rPr>
                <w:rFonts w:ascii="仿宋_GB2312" w:hAnsi="仿宋_GB2312" w:cs="仿宋_GB2312" w:eastAsia="仿宋_GB2312"/>
                <w:sz w:val="24"/>
                <w:b/>
              </w:rPr>
              <w:t>小红书</w:t>
            </w:r>
            <w:r>
              <w:rPr>
                <w:rFonts w:ascii="仿宋_GB2312" w:hAnsi="仿宋_GB2312" w:cs="仿宋_GB2312" w:eastAsia="仿宋_GB2312"/>
                <w:sz w:val="24"/>
                <w:b/>
              </w:rPr>
              <w:t>等平台：</w:t>
            </w:r>
            <w:r>
              <w:rPr>
                <w:rFonts w:ascii="仿宋_GB2312" w:hAnsi="仿宋_GB2312" w:cs="仿宋_GB2312" w:eastAsia="仿宋_GB2312"/>
                <w:sz w:val="24"/>
              </w:rPr>
              <w:t>主要宣传团省委重大活动、社会热点新闻、正能量网络产品等。根据平台定位侧重，有针对性的引导、团结、服务不同年龄段青少年群体。</w:t>
            </w:r>
          </w:p>
          <w:p>
            <w:pPr>
              <w:pStyle w:val="null3"/>
              <w:ind w:firstLine="482"/>
              <w:jc w:val="both"/>
            </w:pPr>
            <w:r>
              <w:rPr>
                <w:rFonts w:ascii="仿宋_GB2312" w:hAnsi="仿宋_GB2312" w:cs="仿宋_GB2312" w:eastAsia="仿宋_GB2312"/>
                <w:sz w:val="24"/>
                <w:b/>
              </w:rPr>
              <w:t>5.团省委网络信息监测信息服务系统：</w:t>
            </w:r>
            <w:r>
              <w:rPr>
                <w:rFonts w:ascii="仿宋_GB2312" w:hAnsi="仿宋_GB2312" w:cs="仿宋_GB2312" w:eastAsia="仿宋_GB2312"/>
                <w:sz w:val="24"/>
              </w:rPr>
              <w:t>通过专业系统，实时掌握、监测全省青少年网络舆论动态，维护意识形态领域安全，为青少年思想引领工作提供及时信息和可靠数据。</w:t>
            </w:r>
            <w:r>
              <w:rPr>
                <w:rFonts w:ascii="仿宋_GB2312" w:hAnsi="仿宋_GB2312" w:cs="仿宋_GB2312" w:eastAsia="仿宋_GB2312"/>
                <w:sz w:val="24"/>
                <w:b/>
              </w:rPr>
              <w:t>网络信息监测</w:t>
            </w:r>
            <w:r>
              <w:rPr>
                <w:rFonts w:ascii="仿宋_GB2312" w:hAnsi="仿宋_GB2312" w:cs="仿宋_GB2312" w:eastAsia="仿宋_GB2312"/>
                <w:sz w:val="24"/>
              </w:rPr>
              <w:t>服务系统将由第三方专业平台提供技术服务支持。（服务期</w:t>
            </w:r>
            <w:r>
              <w:rPr>
                <w:rFonts w:ascii="仿宋_GB2312" w:hAnsi="仿宋_GB2312" w:cs="仿宋_GB2312" w:eastAsia="仿宋_GB2312"/>
                <w:sz w:val="24"/>
              </w:rPr>
              <w:t>12</w:t>
            </w:r>
            <w:r>
              <w:rPr>
                <w:rFonts w:ascii="仿宋_GB2312" w:hAnsi="仿宋_GB2312" w:cs="仿宋_GB2312" w:eastAsia="仿宋_GB2312"/>
                <w:sz w:val="24"/>
              </w:rPr>
              <w:t>个月，经与服务提供方商议后，达成一致。相关业务正常开展，待财政厅将相关项目经费拨付到账后开展项目采购工作）</w:t>
            </w:r>
          </w:p>
          <w:p>
            <w:pPr>
              <w:pStyle w:val="null3"/>
              <w:ind w:firstLine="480"/>
              <w:jc w:val="both"/>
            </w:pPr>
            <w:r>
              <w:rPr>
                <w:rFonts w:ascii="仿宋_GB2312" w:hAnsi="仿宋_GB2312" w:cs="仿宋_GB2312" w:eastAsia="仿宋_GB2312"/>
                <w:sz w:val="24"/>
              </w:rPr>
              <w:t>（二）平台运维要求</w:t>
            </w:r>
          </w:p>
          <w:p>
            <w:pPr>
              <w:pStyle w:val="null3"/>
              <w:ind w:firstLine="482"/>
              <w:jc w:val="both"/>
            </w:pPr>
            <w:r>
              <w:rPr>
                <w:rFonts w:ascii="仿宋_GB2312" w:hAnsi="仿宋_GB2312" w:cs="仿宋_GB2312" w:eastAsia="仿宋_GB2312"/>
                <w:sz w:val="24"/>
                <w:b/>
              </w:rPr>
              <w:t>1.“陕西共青团”网站运维要求：</w:t>
            </w:r>
          </w:p>
          <w:p>
            <w:pPr>
              <w:pStyle w:val="null3"/>
              <w:ind w:firstLine="480"/>
              <w:jc w:val="both"/>
            </w:pPr>
            <w:r>
              <w:rPr>
                <w:rFonts w:ascii="仿宋_GB2312" w:hAnsi="仿宋_GB2312" w:cs="仿宋_GB2312" w:eastAsia="仿宋_GB2312"/>
                <w:sz w:val="24"/>
              </w:rPr>
              <w:t>基础运维：团省委权威信息公开，团务公开、重点政策发布、重点工作报道。各级团组织工作动态、亮点。</w:t>
            </w:r>
          </w:p>
          <w:p>
            <w:pPr>
              <w:pStyle w:val="null3"/>
              <w:ind w:firstLine="480"/>
              <w:jc w:val="both"/>
            </w:pPr>
            <w:r>
              <w:rPr>
                <w:rFonts w:ascii="仿宋_GB2312" w:hAnsi="仿宋_GB2312" w:cs="仿宋_GB2312" w:eastAsia="仿宋_GB2312"/>
                <w:sz w:val="24"/>
              </w:rPr>
              <w:t>汇聚各种服务窗口：根据团省委的工作需要，设置各种专题版块，并做好网站首页的内容更新，使得网站服务功能更完善。</w:t>
            </w:r>
          </w:p>
          <w:p>
            <w:pPr>
              <w:pStyle w:val="null3"/>
              <w:ind w:firstLine="480"/>
              <w:jc w:val="both"/>
            </w:pPr>
            <w:r>
              <w:rPr>
                <w:rFonts w:ascii="仿宋_GB2312" w:hAnsi="仿宋_GB2312" w:cs="仿宋_GB2312" w:eastAsia="仿宋_GB2312"/>
                <w:sz w:val="24"/>
              </w:rPr>
              <w:t>设立业务系统入口：为团省委各部门分划专属二级页面版块，各部门根据实际情况进行动态更新和业务服务，使得团省委内部工作更精确、便捷。</w:t>
            </w:r>
          </w:p>
          <w:p>
            <w:pPr>
              <w:pStyle w:val="null3"/>
              <w:ind w:firstLine="480"/>
              <w:jc w:val="both"/>
            </w:pPr>
            <w:r>
              <w:rPr>
                <w:rFonts w:ascii="仿宋_GB2312" w:hAnsi="仿宋_GB2312" w:cs="仿宋_GB2312" w:eastAsia="仿宋_GB2312"/>
                <w:sz w:val="24"/>
              </w:rPr>
              <w:t>整合热点内容：明确立场，树立正确舆论导向，提供贴近青年需求的一手资讯。报道先进人物事迹，帮助青少年树立正确的价值观。报道团省委开展的项目活动，服务青少年成长实际需求。报道各地市团委对五大工作体系的落实情况，展示陕西共青团整体风貌。</w:t>
            </w:r>
          </w:p>
          <w:p>
            <w:pPr>
              <w:pStyle w:val="null3"/>
              <w:ind w:firstLine="482"/>
              <w:jc w:val="both"/>
            </w:pPr>
            <w:r>
              <w:rPr>
                <w:rFonts w:ascii="仿宋_GB2312" w:hAnsi="仿宋_GB2312" w:cs="仿宋_GB2312" w:eastAsia="仿宋_GB2312"/>
                <w:sz w:val="24"/>
                <w:b/>
              </w:rPr>
              <w:t>2.“三秦青年”微博平台运维要求：</w:t>
            </w:r>
          </w:p>
          <w:p>
            <w:pPr>
              <w:pStyle w:val="null3"/>
              <w:ind w:firstLine="480"/>
              <w:jc w:val="both"/>
            </w:pPr>
            <w:r>
              <w:rPr>
                <w:rFonts w:ascii="仿宋_GB2312" w:hAnsi="仿宋_GB2312" w:cs="仿宋_GB2312" w:eastAsia="仿宋_GB2312"/>
                <w:sz w:val="24"/>
              </w:rPr>
              <w:t>结合团省委的重点工作、重大活动，做好信息传达、热点话题营造，充分利用平台优势，抢占舆论制高点，及时做好网络信息监测情况应对，树立正确舆论导向。</w:t>
            </w:r>
          </w:p>
          <w:p>
            <w:pPr>
              <w:pStyle w:val="null3"/>
              <w:ind w:firstLine="480"/>
              <w:jc w:val="both"/>
            </w:pPr>
            <w:r>
              <w:rPr>
                <w:rFonts w:ascii="仿宋_GB2312" w:hAnsi="仿宋_GB2312" w:cs="仿宋_GB2312" w:eastAsia="仿宋_GB2312"/>
                <w:sz w:val="24"/>
              </w:rPr>
              <w:t>新闻资讯宣传：针对团省委相关新闻资讯进行内容发布；及时发布陕西各地市共青团的工作动态。利用直播、图文等形式及时播报重大活动。</w:t>
            </w:r>
          </w:p>
          <w:p>
            <w:pPr>
              <w:pStyle w:val="null3"/>
              <w:ind w:firstLine="480"/>
              <w:jc w:val="both"/>
            </w:pPr>
            <w:r>
              <w:rPr>
                <w:rFonts w:ascii="仿宋_GB2312" w:hAnsi="仿宋_GB2312" w:cs="仿宋_GB2312" w:eastAsia="仿宋_GB2312"/>
                <w:sz w:val="24"/>
              </w:rPr>
              <w:t>网络信息监测情况处置：做好网络信息监测情况应急预案，配合团省委做好处置。</w:t>
            </w:r>
          </w:p>
          <w:p>
            <w:pPr>
              <w:pStyle w:val="null3"/>
              <w:ind w:firstLine="480"/>
              <w:jc w:val="both"/>
            </w:pPr>
            <w:r>
              <w:rPr>
                <w:rFonts w:ascii="仿宋_GB2312" w:hAnsi="仿宋_GB2312" w:cs="仿宋_GB2312" w:eastAsia="仿宋_GB2312"/>
                <w:sz w:val="24"/>
              </w:rPr>
              <w:t>舆论引导：日常传播具有思想引领作用的正能量信息，在关键时刻利用网评力量，引导正确的舆论导向。</w:t>
            </w:r>
          </w:p>
          <w:p>
            <w:pPr>
              <w:pStyle w:val="null3"/>
              <w:ind w:firstLine="480"/>
              <w:jc w:val="both"/>
            </w:pPr>
            <w:r>
              <w:rPr>
                <w:rFonts w:ascii="仿宋_GB2312" w:hAnsi="仿宋_GB2312" w:cs="仿宋_GB2312" w:eastAsia="仿宋_GB2312"/>
                <w:sz w:val="24"/>
              </w:rPr>
              <w:t>话题营造：在团省委的重大活动中，营造社会热点话题。</w:t>
            </w:r>
          </w:p>
          <w:p>
            <w:pPr>
              <w:pStyle w:val="null3"/>
              <w:ind w:firstLine="482"/>
              <w:jc w:val="both"/>
            </w:pPr>
            <w:r>
              <w:rPr>
                <w:rFonts w:ascii="仿宋_GB2312" w:hAnsi="仿宋_GB2312" w:cs="仿宋_GB2312" w:eastAsia="仿宋_GB2312"/>
                <w:sz w:val="24"/>
                <w:b/>
              </w:rPr>
              <w:t>3.“三秦青年”微信公众号运维要求：</w:t>
            </w:r>
          </w:p>
          <w:p>
            <w:pPr>
              <w:pStyle w:val="null3"/>
              <w:ind w:firstLine="480"/>
              <w:jc w:val="both"/>
            </w:pPr>
            <w:r>
              <w:rPr>
                <w:rFonts w:ascii="仿宋_GB2312" w:hAnsi="仿宋_GB2312" w:cs="仿宋_GB2312" w:eastAsia="仿宋_GB2312"/>
                <w:sz w:val="24"/>
              </w:rPr>
              <w:t>围绕团省委的中心工作，严格把握政治方向、舆论导向、价值取向，发布高质量信息，做好对青少年的思想引领工作，通过举办多种线上、线下活动不断提升陕西共青团在青年中的影响力。此外，立足于微信的服务性，围绕团省委重要工作需求，设置青年风采、青年回家、秦团战疫等入口菜单，实现专栏宣传、方便青年网上办事，加强团省委与青年的粘度。</w:t>
            </w:r>
          </w:p>
          <w:p>
            <w:pPr>
              <w:pStyle w:val="null3"/>
              <w:ind w:firstLine="480"/>
              <w:jc w:val="both"/>
            </w:pPr>
            <w:r>
              <w:rPr>
                <w:rFonts w:ascii="仿宋_GB2312" w:hAnsi="仿宋_GB2312" w:cs="仿宋_GB2312" w:eastAsia="仿宋_GB2312"/>
                <w:sz w:val="24"/>
              </w:rPr>
              <w:t>基础运维：日常推送团省委工作中的新闻资讯、重点工作、项目展示。原创、首发与青少年成长、维权相关的深度稿件。围绕团省委重点工作，采编先进人物事迹，引导正确价值观导向。针对青年热点话题，拍摄相关视频，展现陕西共青团的态度。推送与青年相关的社会热点事件。</w:t>
            </w:r>
          </w:p>
          <w:p>
            <w:pPr>
              <w:pStyle w:val="null3"/>
              <w:ind w:firstLine="480"/>
              <w:jc w:val="both"/>
            </w:pPr>
            <w:r>
              <w:rPr>
                <w:rFonts w:ascii="仿宋_GB2312" w:hAnsi="仿宋_GB2312" w:cs="仿宋_GB2312" w:eastAsia="仿宋_GB2312"/>
                <w:sz w:val="24"/>
              </w:rPr>
              <w:t>内容服务：服务周期内，针对重要节点进行原创内容营销。根据时事热点、网络话题等，结合团省委工作进行内容创作，增强趣味性及文章的可读性和传播性。</w:t>
            </w:r>
          </w:p>
          <w:p>
            <w:pPr>
              <w:pStyle w:val="null3"/>
              <w:ind w:firstLine="480"/>
              <w:jc w:val="both"/>
            </w:pPr>
            <w:r>
              <w:rPr>
                <w:rFonts w:ascii="仿宋_GB2312" w:hAnsi="仿宋_GB2312" w:cs="仿宋_GB2312" w:eastAsia="仿宋_GB2312"/>
                <w:sz w:val="24"/>
              </w:rPr>
              <w:t>创意服务：根据团省委年度工作节点，设计创意海报。针对团省委线上、线下活动、重点工作等，设计展示类、邀请类</w:t>
            </w:r>
            <w:r>
              <w:rPr>
                <w:rFonts w:ascii="仿宋_GB2312" w:hAnsi="仿宋_GB2312" w:cs="仿宋_GB2312" w:eastAsia="仿宋_GB2312"/>
                <w:sz w:val="24"/>
              </w:rPr>
              <w:t>H5。针对团代会或其他团内重点工作策划相关投票互动活动，引流粉丝。针对青年创业、青年梦想策划线下活动，为青年提供发展平台。</w:t>
            </w:r>
          </w:p>
          <w:p>
            <w:pPr>
              <w:pStyle w:val="null3"/>
              <w:ind w:firstLine="482"/>
              <w:jc w:val="both"/>
            </w:pPr>
            <w:r>
              <w:rPr>
                <w:rFonts w:ascii="仿宋_GB2312" w:hAnsi="仿宋_GB2312" w:cs="仿宋_GB2312" w:eastAsia="仿宋_GB2312"/>
                <w:sz w:val="24"/>
                <w:b/>
              </w:rPr>
              <w:t>4.其它平台（抖音、</w:t>
            </w:r>
            <w:r>
              <w:rPr>
                <w:rFonts w:ascii="仿宋_GB2312" w:hAnsi="仿宋_GB2312" w:cs="仿宋_GB2312" w:eastAsia="仿宋_GB2312"/>
                <w:sz w:val="24"/>
                <w:b/>
              </w:rPr>
              <w:t>小红书</w:t>
            </w:r>
            <w:r>
              <w:rPr>
                <w:rFonts w:ascii="仿宋_GB2312" w:hAnsi="仿宋_GB2312" w:cs="仿宋_GB2312" w:eastAsia="仿宋_GB2312"/>
                <w:sz w:val="24"/>
                <w:b/>
              </w:rPr>
              <w:t>、视频号、</w:t>
            </w:r>
            <w:r>
              <w:rPr>
                <w:rFonts w:ascii="仿宋_GB2312" w:hAnsi="仿宋_GB2312" w:cs="仿宋_GB2312" w:eastAsia="仿宋_GB2312"/>
                <w:sz w:val="24"/>
                <w:b/>
              </w:rPr>
              <w:t>B站）运维要求：</w:t>
            </w:r>
          </w:p>
          <w:p>
            <w:pPr>
              <w:pStyle w:val="null3"/>
              <w:ind w:firstLine="480"/>
              <w:jc w:val="both"/>
            </w:pPr>
            <w:r>
              <w:rPr>
                <w:rFonts w:ascii="仿宋_GB2312" w:hAnsi="仿宋_GB2312" w:cs="仿宋_GB2312" w:eastAsia="仿宋_GB2312"/>
                <w:sz w:val="24"/>
              </w:rPr>
              <w:t>基础运维：以走进青年、引导青年为宗旨</w:t>
            </w:r>
            <w:r>
              <w:rPr>
                <w:rFonts w:ascii="仿宋_GB2312" w:hAnsi="仿宋_GB2312" w:cs="仿宋_GB2312" w:eastAsia="仿宋_GB2312"/>
                <w:sz w:val="24"/>
              </w:rPr>
              <w:t>,</w:t>
            </w:r>
            <w:r>
              <w:rPr>
                <w:rFonts w:ascii="仿宋_GB2312" w:hAnsi="仿宋_GB2312" w:cs="仿宋_GB2312" w:eastAsia="仿宋_GB2312"/>
                <w:sz w:val="24"/>
              </w:rPr>
              <w:t>日常推送正能量音乐短视频、活动报道、热点新闻等。</w:t>
            </w:r>
          </w:p>
          <w:p>
            <w:pPr>
              <w:pStyle w:val="null3"/>
              <w:ind w:firstLine="480"/>
              <w:jc w:val="both"/>
            </w:pPr>
            <w:r>
              <w:rPr>
                <w:rFonts w:ascii="仿宋_GB2312" w:hAnsi="仿宋_GB2312" w:cs="仿宋_GB2312" w:eastAsia="仿宋_GB2312"/>
                <w:sz w:val="24"/>
              </w:rPr>
              <w:t>线上活动：在团省委重大活动宣传中，创建相关话题，联动相关地市、高校等原创推送活动花絮，提高陕西共青团的影响力。</w:t>
            </w:r>
          </w:p>
          <w:p>
            <w:pPr>
              <w:pStyle w:val="null3"/>
              <w:ind w:firstLine="482"/>
              <w:jc w:val="both"/>
            </w:pPr>
            <w:r>
              <w:rPr>
                <w:rFonts w:ascii="仿宋_GB2312" w:hAnsi="仿宋_GB2312" w:cs="仿宋_GB2312" w:eastAsia="仿宋_GB2312"/>
                <w:sz w:val="24"/>
                <w:b/>
              </w:rPr>
              <w:t>5.团省委网络信息监测服务系统运维要求：</w:t>
            </w:r>
          </w:p>
          <w:p>
            <w:pPr>
              <w:pStyle w:val="null3"/>
              <w:ind w:firstLine="480"/>
              <w:jc w:val="both"/>
            </w:pPr>
            <w:r>
              <w:rPr>
                <w:rFonts w:ascii="仿宋_GB2312" w:hAnsi="仿宋_GB2312" w:cs="仿宋_GB2312" w:eastAsia="仿宋_GB2312"/>
                <w:sz w:val="24"/>
              </w:rPr>
              <w:t>安排专人配合网络信息监测第三方公司对信息服务系统进行管理，及时反馈陕西团属媒体涉团、涉青舆论事件，做好应急预案，配合团省委做好处置。</w:t>
            </w:r>
          </w:p>
          <w:p>
            <w:pPr>
              <w:pStyle w:val="null3"/>
              <w:ind w:firstLine="480"/>
              <w:jc w:val="both"/>
            </w:pPr>
            <w:r>
              <w:rPr>
                <w:rFonts w:ascii="仿宋_GB2312" w:hAnsi="仿宋_GB2312" w:cs="仿宋_GB2312" w:eastAsia="仿宋_GB2312"/>
                <w:sz w:val="24"/>
              </w:rPr>
              <w:t>（三）强化陕西共青团新媒体矩阵的联动发声机制</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rPr>
              <w:t>联通网站、微博、微信、抖音、微视、</w:t>
            </w:r>
            <w:r>
              <w:rPr>
                <w:rFonts w:ascii="仿宋_GB2312" w:hAnsi="仿宋_GB2312" w:cs="仿宋_GB2312" w:eastAsia="仿宋_GB2312"/>
                <w:sz w:val="24"/>
              </w:rPr>
              <w:t>小红书</w:t>
            </w:r>
            <w:r>
              <w:rPr>
                <w:rFonts w:ascii="仿宋_GB2312" w:hAnsi="仿宋_GB2312" w:cs="仿宋_GB2312" w:eastAsia="仿宋_GB2312"/>
                <w:sz w:val="24"/>
              </w:rPr>
              <w:t>、视频号、</w:t>
            </w:r>
            <w:r>
              <w:rPr>
                <w:rFonts w:ascii="仿宋_GB2312" w:hAnsi="仿宋_GB2312" w:cs="仿宋_GB2312" w:eastAsia="仿宋_GB2312"/>
                <w:sz w:val="24"/>
              </w:rPr>
              <w:t>B站等平台，建立团省委新媒体矩阵，实现统一运维、统一管理、统一发声的格局。</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rPr>
              <w:t>以团省委新媒体平台融合为基础，引领包括高校、企业等在内的全省各级团组织的新媒体宣传平台，共同打造团省委新媒体矩阵，实现共融互通、联动发声。</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rPr>
              <w:t>使用好团省委的宣传矩阵，积极宣传推广陕西共青团形象，把陕西共青团的声音传播到全团、全网。</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、验收考核</w:t>
            </w:r>
          </w:p>
          <w:p>
            <w:pPr>
              <w:pStyle w:val="null3"/>
              <w:ind w:firstLine="482"/>
              <w:jc w:val="both"/>
            </w:pPr>
            <w:r>
              <w:rPr>
                <w:rFonts w:ascii="仿宋_GB2312" w:hAnsi="仿宋_GB2312" w:cs="仿宋_GB2312" w:eastAsia="仿宋_GB2312"/>
                <w:sz w:val="24"/>
                <w:b/>
              </w:rPr>
              <w:t>新媒体中心运维服务项目</w:t>
            </w:r>
            <w:r>
              <w:rPr>
                <w:rFonts w:ascii="仿宋_GB2312" w:hAnsi="仿宋_GB2312" w:cs="仿宋_GB2312" w:eastAsia="仿宋_GB2312"/>
                <w:sz w:val="24"/>
                <w:b/>
              </w:rPr>
              <w:t>基础考核表</w:t>
            </w:r>
          </w:p>
          <w:tbl>
            <w:tblPr>
              <w:tblInd w:type="dxa" w:w="135"/>
              <w:tblBorders>
                <w:top w:val="none" w:color="000000" w:sz="4"/>
                <w:left w:val="none" w:color="000000" w:sz="4"/>
                <w:bottom w:val="none" w:color="000000" w:sz="4"/>
                <w:right w:val="none" w:color="000000" w:sz="4"/>
                <w:insideH w:val="none"/>
                <w:insideV w:val="none"/>
              </w:tblBorders>
            </w:tblPr>
            <w:tblGrid>
              <w:gridCol w:w="420"/>
              <w:gridCol w:w="1035"/>
              <w:gridCol w:w="792"/>
              <w:gridCol w:w="306"/>
            </w:tblGrid>
            <w:tr>
              <w:tc>
                <w:tcPr>
                  <w:tcW w:type="dxa" w:w="42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项目</w:t>
                  </w:r>
                </w:p>
              </w:tc>
              <w:tc>
                <w:tcPr>
                  <w:tcW w:type="dxa" w:w="103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内容</w:t>
                  </w:r>
                </w:p>
              </w:tc>
              <w:tc>
                <w:tcPr>
                  <w:tcW w:type="dxa" w:w="79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标准</w:t>
                  </w:r>
                </w:p>
              </w:tc>
              <w:tc>
                <w:tcPr>
                  <w:tcW w:type="dxa" w:w="30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考核分数</w:t>
                  </w:r>
                </w:p>
              </w:tc>
            </w:tr>
            <w:tr>
              <w:tc>
                <w:tcPr>
                  <w:tcW w:type="dxa" w:w="420"/>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微信：三秦青年</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31分）</w:t>
                  </w: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日常内容推送，其中平均每月更新与共青团及青年工作有关的内容占比不低于</w:t>
                  </w:r>
                  <w:r>
                    <w:rPr>
                      <w:rFonts w:ascii="仿宋_GB2312" w:hAnsi="仿宋_GB2312" w:cs="仿宋_GB2312" w:eastAsia="仿宋_GB2312"/>
                      <w:sz w:val="24"/>
                    </w:rPr>
                    <w:t>40%</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工作日每天不少于</w:t>
                  </w:r>
                  <w:r>
                    <w:rPr>
                      <w:rFonts w:ascii="仿宋_GB2312" w:hAnsi="仿宋_GB2312" w:cs="仿宋_GB2312" w:eastAsia="仿宋_GB2312"/>
                      <w:sz w:val="24"/>
                    </w:rPr>
                    <w:t>3次，双休及节假日每天不少于2次</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15分</w:t>
                  </w:r>
                </w:p>
              </w:tc>
            </w:tr>
            <w:tr>
              <w:tc>
                <w:tcPr>
                  <w:tcW w:type="dxa" w:w="42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全年推送原创内容占比</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不低于</w:t>
                  </w:r>
                  <w:r>
                    <w:rPr>
                      <w:rFonts w:ascii="仿宋_GB2312" w:hAnsi="仿宋_GB2312" w:cs="仿宋_GB2312" w:eastAsia="仿宋_GB2312"/>
                      <w:sz w:val="24"/>
                    </w:rPr>
                    <w:t>12%</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分</w:t>
                  </w:r>
                </w:p>
              </w:tc>
            </w:tr>
            <w:tr>
              <w:tc>
                <w:tcPr>
                  <w:tcW w:type="dxa" w:w="42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针对团省委重大活动，设计展示类、邀请类</w:t>
                  </w:r>
                  <w:r>
                    <w:rPr>
                      <w:rFonts w:ascii="仿宋_GB2312" w:hAnsi="仿宋_GB2312" w:cs="仿宋_GB2312" w:eastAsia="仿宋_GB2312"/>
                      <w:sz w:val="24"/>
                    </w:rPr>
                    <w:t>PPT、H5，或针对团内重点工作策划投票或抽奖互动活动</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全年不少于</w:t>
                  </w:r>
                  <w:r>
                    <w:rPr>
                      <w:rFonts w:ascii="仿宋_GB2312" w:hAnsi="仿宋_GB2312" w:cs="仿宋_GB2312" w:eastAsia="仿宋_GB2312"/>
                      <w:sz w:val="24"/>
                    </w:rPr>
                    <w:t>24个</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5分</w:t>
                  </w:r>
                </w:p>
              </w:tc>
            </w:tr>
            <w:tr>
              <w:tc>
                <w:tcPr>
                  <w:tcW w:type="dxa" w:w="42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在团中央全团微信排行榜中年平均排名</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不低于</w:t>
                  </w:r>
                  <w:r>
                    <w:rPr>
                      <w:rFonts w:ascii="仿宋_GB2312" w:hAnsi="仿宋_GB2312" w:cs="仿宋_GB2312" w:eastAsia="仿宋_GB2312"/>
                      <w:sz w:val="24"/>
                    </w:rPr>
                    <w:t>18名</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5分</w:t>
                  </w:r>
                </w:p>
              </w:tc>
            </w:tr>
            <w:tr>
              <w:tc>
                <w:tcPr>
                  <w:tcW w:type="dxa" w:w="420"/>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微博：三秦青年</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21分）</w:t>
                  </w: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日常内容推送，其中平均每天更新与共青团及青年工作有关的内容占比不低于</w:t>
                  </w:r>
                  <w:r>
                    <w:rPr>
                      <w:rFonts w:ascii="仿宋_GB2312" w:hAnsi="仿宋_GB2312" w:cs="仿宋_GB2312" w:eastAsia="仿宋_GB2312"/>
                      <w:sz w:val="24"/>
                    </w:rPr>
                    <w:t>40%</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工作日每天不少于</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条，公休及节假日每天不少于</w:t>
                  </w:r>
                  <w:r>
                    <w:rPr>
                      <w:rFonts w:ascii="仿宋_GB2312" w:hAnsi="仿宋_GB2312" w:cs="仿宋_GB2312" w:eastAsia="仿宋_GB2312"/>
                      <w:sz w:val="24"/>
                    </w:rPr>
                    <w:t>8</w:t>
                  </w:r>
                  <w:r>
                    <w:rPr>
                      <w:rFonts w:ascii="仿宋_GB2312" w:hAnsi="仿宋_GB2312" w:cs="仿宋_GB2312" w:eastAsia="仿宋_GB2312"/>
                      <w:sz w:val="24"/>
                    </w:rPr>
                    <w:t>条</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8分</w:t>
                  </w:r>
                </w:p>
              </w:tc>
            </w:tr>
            <w:tr>
              <w:tc>
                <w:tcPr>
                  <w:tcW w:type="dxa" w:w="42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平均每天更新各级团组织信息或互动</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4条</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4分</w:t>
                  </w:r>
                </w:p>
              </w:tc>
            </w:tr>
            <w:tr>
              <w:tc>
                <w:tcPr>
                  <w:tcW w:type="dxa" w:w="42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在团属政务微博排行榜中平均排名</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不低于</w:t>
                  </w:r>
                  <w:r>
                    <w:rPr>
                      <w:rFonts w:ascii="仿宋_GB2312" w:hAnsi="仿宋_GB2312" w:cs="仿宋_GB2312" w:eastAsia="仿宋_GB2312"/>
                      <w:sz w:val="24"/>
                    </w:rPr>
                    <w:t>25名</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5分</w:t>
                  </w:r>
                </w:p>
              </w:tc>
            </w:tr>
            <w:tr>
              <w:tc>
                <w:tcPr>
                  <w:tcW w:type="dxa" w:w="42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建立与粉丝互动响应机制</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互动留言回复率</w:t>
                  </w:r>
                  <w:r>
                    <w:rPr>
                      <w:rFonts w:ascii="仿宋_GB2312" w:hAnsi="仿宋_GB2312" w:cs="仿宋_GB2312" w:eastAsia="仿宋_GB2312"/>
                      <w:sz w:val="24"/>
                    </w:rPr>
                    <w:t>80%以上，12小时内响应</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4分</w:t>
                  </w:r>
                </w:p>
              </w:tc>
            </w:tr>
            <w:tr>
              <w:tc>
                <w:tcPr>
                  <w:tcW w:type="dxa" w:w="420"/>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网站：陕西共青团</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6分）</w:t>
                  </w: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日常更新团中央、团省委、基层组织等工作动态</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每周不少于</w:t>
                  </w:r>
                  <w:r>
                    <w:rPr>
                      <w:rFonts w:ascii="仿宋_GB2312" w:hAnsi="仿宋_GB2312" w:cs="仿宋_GB2312" w:eastAsia="仿宋_GB2312"/>
                      <w:sz w:val="24"/>
                    </w:rPr>
                    <w:t>10条</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4分</w:t>
                  </w:r>
                </w:p>
              </w:tc>
            </w:tr>
            <w:tr>
              <w:tc>
                <w:tcPr>
                  <w:tcW w:type="dxa" w:w="42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协助改善用户体验</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及时报告关于内网、官网的重大</w:t>
                  </w:r>
                  <w:r>
                    <w:rPr>
                      <w:rFonts w:ascii="仿宋_GB2312" w:hAnsi="仿宋_GB2312" w:cs="仿宋_GB2312" w:eastAsia="仿宋_GB2312"/>
                      <w:sz w:val="24"/>
                    </w:rPr>
                    <w:t>bug、卡顿、崩溃等情况</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2分</w:t>
                  </w:r>
                </w:p>
              </w:tc>
            </w:tr>
            <w:tr>
              <w:tc>
                <w:tcPr>
                  <w:tcW w:type="dxa" w:w="420"/>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其他平台（包括抖音、</w:t>
                  </w:r>
                  <w:r>
                    <w:rPr>
                      <w:rFonts w:ascii="仿宋_GB2312" w:hAnsi="仿宋_GB2312" w:cs="仿宋_GB2312" w:eastAsia="仿宋_GB2312"/>
                      <w:sz w:val="24"/>
                      <w:b/>
                    </w:rPr>
                    <w:t>小红书</w:t>
                  </w:r>
                  <w:r>
                    <w:rPr>
                      <w:rFonts w:ascii="仿宋_GB2312" w:hAnsi="仿宋_GB2312" w:cs="仿宋_GB2312" w:eastAsia="仿宋_GB2312"/>
                      <w:sz w:val="24"/>
                      <w:b/>
                    </w:rPr>
                    <w:t>、视频号、</w:t>
                  </w:r>
                  <w:r>
                    <w:rPr>
                      <w:rFonts w:ascii="仿宋_GB2312" w:hAnsi="仿宋_GB2312" w:cs="仿宋_GB2312" w:eastAsia="仿宋_GB2312"/>
                      <w:sz w:val="24"/>
                      <w:b/>
                    </w:rPr>
                    <w:t>B站等）</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22分）</w:t>
                  </w: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日常内容推送，其中平均每月更新与共青团及青年工作有关的内容占比不低于</w:t>
                  </w:r>
                  <w:r>
                    <w:rPr>
                      <w:rFonts w:ascii="仿宋_GB2312" w:hAnsi="仿宋_GB2312" w:cs="仿宋_GB2312" w:eastAsia="仿宋_GB2312"/>
                      <w:sz w:val="24"/>
                    </w:rPr>
                    <w:t>30%</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工作日每天不少于</w:t>
                  </w:r>
                  <w:r>
                    <w:rPr>
                      <w:rFonts w:ascii="仿宋_GB2312" w:hAnsi="仿宋_GB2312" w:cs="仿宋_GB2312" w:eastAsia="仿宋_GB2312"/>
                      <w:sz w:val="24"/>
                    </w:rPr>
                    <w:t>2次，双休及节假日每天不少于1次</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8分</w:t>
                  </w:r>
                </w:p>
              </w:tc>
            </w:tr>
            <w:tr>
              <w:tc>
                <w:tcPr>
                  <w:tcW w:type="dxa" w:w="42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抖音平台全年推送原创内容占比</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全年不低于</w:t>
                  </w:r>
                  <w:r>
                    <w:rPr>
                      <w:rFonts w:ascii="仿宋_GB2312" w:hAnsi="仿宋_GB2312" w:cs="仿宋_GB2312" w:eastAsia="仿宋_GB2312"/>
                      <w:sz w:val="24"/>
                    </w:rPr>
                    <w:t>12%</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8分</w:t>
                  </w:r>
                </w:p>
              </w:tc>
            </w:tr>
            <w:tr>
              <w:tc>
                <w:tcPr>
                  <w:tcW w:type="dxa" w:w="42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设置、参与青年关心热点话题，与青年形成有效互动</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全年不少于</w:t>
                  </w:r>
                  <w:r>
                    <w:rPr>
                      <w:rFonts w:ascii="仿宋_GB2312" w:hAnsi="仿宋_GB2312" w:cs="仿宋_GB2312" w:eastAsia="仿宋_GB2312"/>
                      <w:sz w:val="24"/>
                    </w:rPr>
                    <w:t>6个</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6分</w:t>
                  </w:r>
                </w:p>
              </w:tc>
            </w:tr>
            <w:tr>
              <w:tc>
                <w:tcPr>
                  <w:tcW w:type="dxa" w:w="420"/>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内容生产及活动策划</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15分）</w:t>
                  </w: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参与策划、报道团省委重大主题活动</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全年不少于</w:t>
                  </w:r>
                  <w:r>
                    <w:rPr>
                      <w:rFonts w:ascii="仿宋_GB2312" w:hAnsi="仿宋_GB2312" w:cs="仿宋_GB2312" w:eastAsia="仿宋_GB2312"/>
                      <w:sz w:val="24"/>
                    </w:rPr>
                    <w:t>8次</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4分</w:t>
                  </w:r>
                </w:p>
              </w:tc>
            </w:tr>
            <w:tr>
              <w:tc>
                <w:tcPr>
                  <w:tcW w:type="dxa" w:w="42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网宣队伍建设、维护、培训</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队伍成员最少</w:t>
                  </w:r>
                  <w:r>
                    <w:rPr>
                      <w:rFonts w:ascii="仿宋_GB2312" w:hAnsi="仿宋_GB2312" w:cs="仿宋_GB2312" w:eastAsia="仿宋_GB2312"/>
                      <w:sz w:val="24"/>
                    </w:rPr>
                    <w:t>30名，兼顾日常维护、培训</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3分</w:t>
                  </w:r>
                </w:p>
              </w:tc>
            </w:tr>
            <w:tr>
              <w:tc>
                <w:tcPr>
                  <w:tcW w:type="dxa" w:w="42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短视频作品制作、编辑</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全年不少于</w:t>
                  </w:r>
                  <w:r>
                    <w:rPr>
                      <w:rFonts w:ascii="仿宋_GB2312" w:hAnsi="仿宋_GB2312" w:cs="仿宋_GB2312" w:eastAsia="仿宋_GB2312"/>
                      <w:sz w:val="24"/>
                    </w:rPr>
                    <w:t>12个</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4分</w:t>
                  </w:r>
                </w:p>
              </w:tc>
            </w:tr>
            <w:tr>
              <w:tc>
                <w:tcPr>
                  <w:tcW w:type="dxa" w:w="420"/>
                  <w:vMerge/>
                  <w:tcBorders>
                    <w:top w:val="none" w:color="000000" w:sz="4"/>
                    <w:left w:val="single" w:color="000000" w:sz="4"/>
                    <w:bottom w:val="single" w:color="000000" w:sz="4"/>
                    <w:right w:val="single" w:color="000000" w:sz="4"/>
                  </w:tcBorders>
                </w:tcP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设计创意海报、长图、九宫格海报及其他文化产品</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全年不少于</w:t>
                  </w:r>
                  <w:r>
                    <w:rPr>
                      <w:rFonts w:ascii="仿宋_GB2312" w:hAnsi="仿宋_GB2312" w:cs="仿宋_GB2312" w:eastAsia="仿宋_GB2312"/>
                      <w:sz w:val="24"/>
                    </w:rPr>
                    <w:t>24幅</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4分</w:t>
                  </w:r>
                </w:p>
              </w:tc>
            </w:tr>
            <w:tr>
              <w:tc>
                <w:tcPr>
                  <w:tcW w:type="dxa" w:w="42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网络信息监测情况管理</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5分）</w:t>
                  </w:r>
                </w:p>
              </w:tc>
              <w:tc>
                <w:tcPr>
                  <w:tcW w:type="dxa" w:w="103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配合信息监测第三方公司实时监测陕西省团属宣传媒体，配合做好应急处理方案</w:t>
                  </w:r>
                </w:p>
              </w:tc>
              <w:tc>
                <w:tcPr>
                  <w:tcW w:type="dxa" w:w="79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全年零通报、零批评得</w:t>
                  </w:r>
                  <w:r>
                    <w:rPr>
                      <w:rFonts w:ascii="仿宋_GB2312" w:hAnsi="仿宋_GB2312" w:cs="仿宋_GB2312" w:eastAsia="仿宋_GB2312"/>
                      <w:sz w:val="24"/>
                    </w:rPr>
                    <w:t>5分，否则得0分。</w:t>
                  </w:r>
                </w:p>
              </w:tc>
              <w:tc>
                <w:tcPr>
                  <w:tcW w:type="dxa" w:w="30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5分</w:t>
                  </w:r>
                </w:p>
              </w:tc>
            </w:tr>
            <w:tr>
              <w:tc>
                <w:tcPr>
                  <w:tcW w:type="dxa" w:w="2553"/>
                  <w:gridSpan w:val="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rPr>
                    <w:t>注：全年任务考核</w:t>
                  </w:r>
                  <w:r>
                    <w:rPr>
                      <w:rFonts w:ascii="仿宋_GB2312" w:hAnsi="仿宋_GB2312" w:cs="仿宋_GB2312" w:eastAsia="仿宋_GB2312"/>
                      <w:sz w:val="24"/>
                    </w:rPr>
                    <w:t>100分，按照实际运营得分给予考核。总得分90分以上，视为验收合格。</w:t>
                  </w:r>
                </w:p>
              </w:tc>
            </w:tr>
          </w:tbl>
          <w:p>
            <w:pPr>
              <w:pStyle w:val="null3"/>
              <w:jc w:val="left"/>
            </w:pPr>
            <w:r>
              <w:rPr>
                <w:rFonts w:ascii="仿宋_GB2312" w:hAnsi="仿宋_GB2312" w:cs="仿宋_GB2312" w:eastAsia="仿宋_GB2312"/>
                <w:sz w:val="24"/>
              </w:rPr>
              <w:t>注：针对每个考核项，达到要求得满分；未达到要求，则得分</w:t>
            </w:r>
            <w:r>
              <w:rPr>
                <w:rFonts w:ascii="仿宋_GB2312" w:hAnsi="仿宋_GB2312" w:cs="仿宋_GB2312" w:eastAsia="仿宋_GB2312"/>
                <w:sz w:val="24"/>
              </w:rPr>
              <w:t>= 满分 * 完成度。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为3年（年度验收合格，续签下年度合同。若服务期限内供应商未按合同约定提供服务或验收不合格，供应商不整改或者整改后仍无法达到采购人要求的，采购人有权提前终止合同或终止后续年度合同的签署）。</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供应商按照采购文件及合同内容提供完整服务，考核合格，视为验收合格。 验收过程中，若发现严重质量问题，且在规定时间内整改无效，采购人将进行严肃处理，并将其列入“不良行为记录名单”。 验收依据 磋商文件、磋商响应文件、合同文本、国内相应的标准、规范。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考核通过</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法人提供经审计的2023年度或2024年度的财务报告或提交磋商响应文件截止时间前一年内银行资信证明；或政府采购信用担保机构出具的投标担保函。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投标有效期不足90天的。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不满足磋商文件3.3条商务要求的</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磋商报价价格高于磋商文件公布的采购预算的。</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出现不符合法律、法规和竞争性磋商文件中规定的其他实质性要求的情况，其响应文件按无效文件处理。</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根据供应商对项目整体及重点难点的分析赋分。 了解项目实施过程中的重点难点，并提出科学合理的应对策略，得5分； 提供了相关分析，但内容简单，无应对策略，得3分； 相关分析或与实际不符，得1分； 未提供项目分析，得0分。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网站运维方案</w:t>
            </w:r>
          </w:p>
        </w:tc>
        <w:tc>
          <w:tcPr>
            <w:tcW w:type="dxa" w:w="2492"/>
          </w:tcPr>
          <w:p>
            <w:pPr>
              <w:pStyle w:val="null3"/>
            </w:pPr>
            <w:r>
              <w:rPr>
                <w:rFonts w:ascii="仿宋_GB2312" w:hAnsi="仿宋_GB2312" w:cs="仿宋_GB2312" w:eastAsia="仿宋_GB2312"/>
              </w:rPr>
              <w:t>根据供应商对网站运维服务方案赋分： 1.服务方案紧密贴合工作实际需求，内容详尽全面，服务描述条理清晰，针对性极强，完全符合项目要求，在诸多方面表现出色，超越预期，得10分； 2.服务方案符合工作基本要求，整体框架较为完备，服务内容阐述较为明确，与项目需求保持一致，得8分； 3.服务方案与工作需求存在出入，完整性有待提升，服务内容描述不够详尽，未能充分满足项目要求，方案不具体或存在漏项，得6分； 4.方案存在严重缺陷，得3分； 5.未提供具体方案，得0分。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微博运维方案</w:t>
            </w:r>
          </w:p>
        </w:tc>
        <w:tc>
          <w:tcPr>
            <w:tcW w:type="dxa" w:w="2492"/>
          </w:tcPr>
          <w:p>
            <w:pPr>
              <w:pStyle w:val="null3"/>
            </w:pPr>
            <w:r>
              <w:rPr>
                <w:rFonts w:ascii="仿宋_GB2312" w:hAnsi="仿宋_GB2312" w:cs="仿宋_GB2312" w:eastAsia="仿宋_GB2312"/>
              </w:rPr>
              <w:t>根据供应商对微博运维服务方案赋分： 1.服务方案紧密贴合工作实际需求，内容详尽全面，服务描述条理清晰，针对性极强，完全符合项目要求，在诸多方面表现出色，超越预期，得10分； 2.服务方案符合工作基本要求，整体框架较为完备，服务内容阐述较为明确，与项目需求保持一致，得8分； 3.服务方案与工作需求存在出入，完整性有待提升，服务内容描述不够详尽，未能充分满足项目要求，方案不具体或存在漏项，得6分； 4.方案存在严重缺陷，得3分； 5.未提供具体方案，得0分。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微信公众号运维方案</w:t>
            </w:r>
          </w:p>
        </w:tc>
        <w:tc>
          <w:tcPr>
            <w:tcW w:type="dxa" w:w="2492"/>
          </w:tcPr>
          <w:p>
            <w:pPr>
              <w:pStyle w:val="null3"/>
            </w:pPr>
            <w:r>
              <w:rPr>
                <w:rFonts w:ascii="仿宋_GB2312" w:hAnsi="仿宋_GB2312" w:cs="仿宋_GB2312" w:eastAsia="仿宋_GB2312"/>
              </w:rPr>
              <w:t>根据供应商对微信公众号运维服务方案赋分： 1.服务方案紧密贴合工作实际需求，内容详尽全面，服务描述条理清晰，针对性极强，完全符合项目要求，在诸多方面表现出色，超越预期，得10分； 2.服务方案符合工作基本要求，整体框架较为完备，服务内容阐述较为明确，与项目需求保持一致，得8分； 3.服务方案与工作需求存在出入，完整性有待提升，服务内容描述不够详尽，未能充分满足项目要求，方案不具体或存在漏项，得6分； 4.方案存在严重缺陷，得3分； 5.未提供具体方案，得0分。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其他平台运维方案</w:t>
            </w:r>
          </w:p>
        </w:tc>
        <w:tc>
          <w:tcPr>
            <w:tcW w:type="dxa" w:w="2492"/>
          </w:tcPr>
          <w:p>
            <w:pPr>
              <w:pStyle w:val="null3"/>
            </w:pPr>
            <w:r>
              <w:rPr>
                <w:rFonts w:ascii="仿宋_GB2312" w:hAnsi="仿宋_GB2312" w:cs="仿宋_GB2312" w:eastAsia="仿宋_GB2312"/>
              </w:rPr>
              <w:t>根据供应商对项目抖音、视频号、B站、今日头条等平台运维服务方案赋分： 1.服务方案紧密贴合工作实际需求，内容详尽全面，服务描述条理清晰，针对性极强，完全符合项目要求，在诸多方面表现出色，超越预期，得10分； 2.服务方案符合工作基本要求，整体框架较为完备，服务内容阐述较为明确，与项目需求保持一致，得8分； 3.服务方案与工作需求存在出入，完整性有待提升，服务内容描述不够详尽，未能充分满足项目要求，方案不具体或存在漏项，得6分； 4.方案存在严重缺陷，得3分； 5.未提供具体方案，得0分。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网络信息监测服务系统运维方案</w:t>
            </w:r>
          </w:p>
        </w:tc>
        <w:tc>
          <w:tcPr>
            <w:tcW w:type="dxa" w:w="2492"/>
          </w:tcPr>
          <w:p>
            <w:pPr>
              <w:pStyle w:val="null3"/>
            </w:pPr>
            <w:r>
              <w:rPr>
                <w:rFonts w:ascii="仿宋_GB2312" w:hAnsi="仿宋_GB2312" w:cs="仿宋_GB2312" w:eastAsia="仿宋_GB2312"/>
              </w:rPr>
              <w:t>根据供应商对项目网络信息监测服务系统运维服务方案赋分： 1.服务方案紧密贴合工作实际需求，内容详尽全面，服务描述条理清晰，针对性极强，完全符合项目要求，在诸多方面表现出色，超越预期，得10分； 2.服务方案符合工作基本要求，整体框架较为完备，服务内容阐述较为明确，与项目需求保持一致，得8分； 3.服务方案与工作需求存在出入，完整性有待提升，服务内容描述不够详尽，未能充分满足项目要求，方案不具体或存在漏项，得6分； 4.方案存在严重缺陷，得3分； 5.未提供具体方案，得0分。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运维情况</w:t>
            </w:r>
          </w:p>
        </w:tc>
        <w:tc>
          <w:tcPr>
            <w:tcW w:type="dxa" w:w="2492"/>
          </w:tcPr>
          <w:p>
            <w:pPr>
              <w:pStyle w:val="null3"/>
            </w:pPr>
            <w:r>
              <w:rPr>
                <w:rFonts w:ascii="仿宋_GB2312" w:hAnsi="仿宋_GB2312" w:cs="仿宋_GB2312" w:eastAsia="仿宋_GB2312"/>
              </w:rPr>
              <w:t>根据供应商对项目整体运维情况赋分： 1.具备新媒体平台运营经验，且运维平台在行业排名、粉丝量增长、综合影响力提升等方面取得较好成绩，得5分； 2.具备其他平台运维经验，且取得较好成绩，得3分； 3.具备运维经验，得1分； 4.无相关经验不得分。 提供相关运维说明、总结等证明材料。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根据供应商对本项目提供的应急预案内容赋分： 1.应急预案紧密贴合工作实际需求，内容详尽全面，服务描述条理清晰，针对性极强，完全符合项目要求，得5分； 2.应急预案符合工作基本要求，服务内容阐述较为明确，得3分； 3.应急预案与实际工作需求存在出入，完整性有待提升，存在漏洞，得1分； 4.未提供具体方案，得0分。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平台影响力提升</w:t>
            </w:r>
          </w:p>
        </w:tc>
        <w:tc>
          <w:tcPr>
            <w:tcW w:type="dxa" w:w="2492"/>
          </w:tcPr>
          <w:p>
            <w:pPr>
              <w:pStyle w:val="null3"/>
            </w:pPr>
            <w:r>
              <w:rPr>
                <w:rFonts w:ascii="仿宋_GB2312" w:hAnsi="仿宋_GB2312" w:cs="仿宋_GB2312" w:eastAsia="仿宋_GB2312"/>
              </w:rPr>
              <w:t>根据供应商对项目需求的分析，为项目影响力提升提供保证方案赋分： 1.能够通过运维及资源渠道，确保平台在行业排名影响力提升2到3名，得5分； 2.能够通过运维及资源渠道，确保平台运维影响力较目前水平有所提升，得3分； 3.能够通过运维及资源渠道，实现工作推广，得1分； 4.未提供具体方案，得0分。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具有完善的团队管理体系，针对本项目的实施组织机构、人员安排有具体方案，分工合理、责任明确，能确保项目顺利实施，拟投入本项目人员的完整性、科学性及各专业人员的技术职称证明文件进行赋分： 1.人员类别完整、科学，具有相关职称、经验的，得10分； 2.人员类别基本完整，部分具有相关职称、经验的，得8分； 3.人员类别基本完整，无相关职称、经验的，得6分； 4.人员类别不完整，不满足项目需求，得3分； 5.未提供相关人员，得0分。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根据供应商提供的2022年1月1日至今的同类项目业绩赋分，以合同为准，由评委按份数赋分，每份2分，满分6分。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供应商具有完善的服务保障体系，方案详细具体、合理可行，得4分； 提供了相关内容，描述简单不具体或存在漏项，得2分； 未提供相关内容，得0分。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分值计算方法：P=10×Pmin/ Pn 其中：Pmin：所有有效磋商的最终最低报价。 Pn：第n个供应商的最终报价。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