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版本号：SXKR20250422.20250509001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陕西省重型车排放远程监控系统及企业门禁监控系统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SXKR20250422.</w:t>
      </w:r>
      <w:r>
        <w:br/>
      </w:r>
      <w:r>
        <w:br/>
      </w:r>
      <w:r>
        <w:br/>
      </w:r>
    </w:p>
    <w:p>
      <w:pPr>
        <w:pStyle w:val="null3"/>
        <w:jc w:val="center"/>
        <w:outlineLvl w:val="2"/>
      </w:pPr>
      <w:r>
        <w:rPr>
          <w:rFonts w:ascii="仿宋_GB2312" w:hAnsi="仿宋_GB2312" w:cs="仿宋_GB2312" w:eastAsia="仿宋_GB2312"/>
          <w:sz w:val="28"/>
          <w:b/>
        </w:rPr>
        <w:t>陕西省环境信息中心</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陕西省环境信息中心</w:t>
      </w:r>
      <w:r>
        <w:rPr>
          <w:rFonts w:ascii="仿宋_GB2312" w:hAnsi="仿宋_GB2312" w:cs="仿宋_GB2312" w:eastAsia="仿宋_GB2312"/>
        </w:rPr>
        <w:t>委托，拟对</w:t>
      </w:r>
      <w:r>
        <w:rPr>
          <w:rFonts w:ascii="仿宋_GB2312" w:hAnsi="仿宋_GB2312" w:cs="仿宋_GB2312" w:eastAsia="仿宋_GB2312"/>
        </w:rPr>
        <w:t>陕西省重型车排放远程监控系统及企业门禁监控系统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SXKR20250422.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陕西省重型车排放远程监控系统及企业门禁监控系统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工作需要，采购人拟采购陕西省重型车排放远程监控系统及企业门禁监控系统，用于建设百万级车辆接入能力的省级重型车排放远程监控平台和接入全省重点行业企业门禁数据的企业门禁监控系统，满足国六标准对于重型柴油车机相关监测要求、HJ1321-2023标准中监管系统相关要求，具备数据采集、数据分析、数据计算、数据展示、数据监控及预警等功能，结合GIS地图实时展现。利用该系统平台输出的相关统计数据，为机动车污染防治标准制定、治理效果评估、政策法规研究等工作提供基础数据支撑。具体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陕西省西安市西影路112号环保大厦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029-85429312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姚瑶、王昭、刘昆、贺玉发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13379227713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中标金额作为收费的计算基数，收取标准参照国家计委颁发的《招标代理服务收费管理暂行办法》（计价格[2002]1980号）和国家发展改革委员会办公厅颁发的《关于招标代理服务收费有关问题的通知》（发改办价格[2003]857号）的有关规定向采购代理机构一次付清代理服务费。（招标代理服务费在缴付时需备注xxxx项目简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陕西省环境信息中心</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陕西省环境信息中心</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联系人：姚瑶、贺玉发</w:t>
      </w:r>
    </w:p>
    <w:p>
      <w:pPr>
        <w:pStyle w:val="null3"/>
      </w:pPr>
      <w:r>
        <w:rPr>
          <w:rFonts w:ascii="仿宋_GB2312" w:hAnsi="仿宋_GB2312" w:cs="仿宋_GB2312" w:eastAsia="仿宋_GB2312"/>
        </w:rPr>
        <w:t>联系电话：13379227713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工作需要，采购人拟采购陕西省重型车排放远程监控系统及企业门禁监控系统，用于建设百万级车辆接入能力的省级重型车排放远程监控平台和接入全省重点行业企业门禁数据的企业门禁监控系统，满足国六标准对于重型柴油车机相关监测要求、HJ1321-2023标准中监管系统相关要求，具备数据采集、数据分析、数据计算、数据展示、数据监控及预警等功能，结合GIS地图实时展现。利用该系统平台输出的相关统计数据，为机动车污染防治标准制定、治理效果评估、政策法规研究等工作提供基础数据支撑。具体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3,990,000.00</w:t>
      </w:r>
    </w:p>
    <w:p>
      <w:pPr>
        <w:pStyle w:val="null3"/>
      </w:pPr>
      <w:r>
        <w:rPr>
          <w:rFonts w:ascii="仿宋_GB2312" w:hAnsi="仿宋_GB2312" w:cs="仿宋_GB2312" w:eastAsia="仿宋_GB2312"/>
        </w:rPr>
        <w:t>采购包最高限价（元）: 3,990,000.00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陕西省重型车排放远程监控系统及企业门禁监控系统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标的名称：陕西省重型车排放远程监控系统及企业门禁监控系统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一、建设内容</w:t>
            </w:r>
          </w:p>
          <w:p>
            <w:pPr>
              <w:pStyle w:val="null3"/>
            </w:pPr>
            <w:r>
              <w:rPr>
                <w:rFonts w:ascii="仿宋_GB2312" w:hAnsi="仿宋_GB2312" w:cs="仿宋_GB2312" w:eastAsia="仿宋_GB2312"/>
                <w:sz w:val="24"/>
                <w:b/>
              </w:rPr>
              <w:t>（一）系统功能</w:t>
            </w:r>
          </w:p>
          <w:p>
            <w:pPr>
              <w:pStyle w:val="null3"/>
            </w:pPr>
            <w:r>
              <w:rPr>
                <w:rFonts w:ascii="仿宋_GB2312" w:hAnsi="仿宋_GB2312" w:cs="仿宋_GB2312" w:eastAsia="仿宋_GB2312"/>
                <w:sz w:val="24"/>
              </w:rPr>
              <w:t>1、</w:t>
            </w:r>
            <w:r>
              <w:rPr>
                <w:rFonts w:ascii="仿宋_GB2312" w:hAnsi="仿宋_GB2312" w:cs="仿宋_GB2312" w:eastAsia="仿宋_GB2312"/>
                <w:sz w:val="24"/>
                <w:b/>
              </w:rPr>
              <w:t>重型车排放远程监控系统</w:t>
            </w:r>
          </w:p>
          <w:p>
            <w:pPr>
              <w:pStyle w:val="null3"/>
            </w:pPr>
            <w:r>
              <w:rPr>
                <w:rFonts w:ascii="仿宋_GB2312" w:hAnsi="仿宋_GB2312" w:cs="仿宋_GB2312" w:eastAsia="仿宋_GB2312"/>
                <w:sz w:val="24"/>
                <w:b/>
              </w:rPr>
              <w:t>1.1数据接收</w:t>
            </w:r>
            <w:r>
              <w:br/>
            </w:r>
            <w:r>
              <w:rPr>
                <w:rFonts w:ascii="仿宋_GB2312" w:hAnsi="仿宋_GB2312" w:cs="仿宋_GB2312" w:eastAsia="仿宋_GB2312"/>
                <w:sz w:val="24"/>
              </w:rPr>
              <w:t xml:space="preserve"> 协调与国家重型车排放远程平台对接，建设通讯网关接入服务，用于接收国家平台转发的车辆实时数据，能够兼容GB17691-2018、HJ1239-2021通讯协议要求，并采用相应措施保证数据传输的完整性和安全性。</w:t>
            </w:r>
            <w:r>
              <w:br/>
            </w:r>
            <w:r>
              <w:rPr>
                <w:rFonts w:ascii="仿宋_GB2312" w:hAnsi="仿宋_GB2312" w:cs="仿宋_GB2312" w:eastAsia="仿宋_GB2312"/>
                <w:sz w:val="24"/>
                <w:b/>
              </w:rPr>
              <w:t>1.2数据查询</w:t>
            </w:r>
          </w:p>
          <w:p>
            <w:pPr>
              <w:pStyle w:val="null3"/>
            </w:pPr>
            <w:r>
              <w:rPr>
                <w:rFonts w:ascii="仿宋_GB2312" w:hAnsi="仿宋_GB2312" w:cs="仿宋_GB2312" w:eastAsia="仿宋_GB2312"/>
                <w:sz w:val="24"/>
              </w:rPr>
              <w:t>支持车辆实时数据查询、车辆历史数据查询、支持车辆原始报文查询等功能</w:t>
            </w:r>
          </w:p>
          <w:p>
            <w:pPr>
              <w:pStyle w:val="null3"/>
            </w:pPr>
            <w:r>
              <w:rPr>
                <w:rFonts w:ascii="仿宋_GB2312" w:hAnsi="仿宋_GB2312" w:cs="仿宋_GB2312" w:eastAsia="仿宋_GB2312"/>
                <w:sz w:val="24"/>
              </w:rPr>
              <w:t>▲</w:t>
            </w:r>
            <w:r>
              <w:rPr>
                <w:rFonts w:ascii="仿宋_GB2312" w:hAnsi="仿宋_GB2312" w:cs="仿宋_GB2312" w:eastAsia="仿宋_GB2312"/>
                <w:sz w:val="24"/>
                <w:b/>
              </w:rPr>
              <w:t>1.3可视化展示</w:t>
            </w:r>
          </w:p>
          <w:p>
            <w:pPr>
              <w:pStyle w:val="null3"/>
            </w:pPr>
            <w:r>
              <w:rPr>
                <w:rFonts w:ascii="仿宋_GB2312" w:hAnsi="仿宋_GB2312" w:cs="仿宋_GB2312" w:eastAsia="仿宋_GB2312"/>
                <w:sz w:val="24"/>
              </w:rPr>
              <w:t>支持可视化，实现车辆联网状态、运行工况、排放水平动态监测及多维分析，支撑减排决策制定。</w:t>
            </w:r>
          </w:p>
          <w:p>
            <w:pPr>
              <w:pStyle w:val="null3"/>
            </w:pPr>
            <w:r>
              <w:rPr>
                <w:rFonts w:ascii="仿宋_GB2312" w:hAnsi="仿宋_GB2312" w:cs="仿宋_GB2312" w:eastAsia="仿宋_GB2312"/>
                <w:sz w:val="24"/>
                <w:b/>
              </w:rPr>
              <w:t>1.4车辆监控</w:t>
            </w:r>
          </w:p>
          <w:p>
            <w:pPr>
              <w:pStyle w:val="null3"/>
            </w:pPr>
            <w:r>
              <w:rPr>
                <w:rFonts w:ascii="仿宋_GB2312" w:hAnsi="仿宋_GB2312" w:cs="仿宋_GB2312" w:eastAsia="仿宋_GB2312"/>
                <w:sz w:val="24"/>
              </w:rPr>
              <w:t>支持车辆监控功能模块，集成GIS动态展示（在线/离线/高排车辆分布）、实时定位查询、轨迹回溯及单车工况排放分析等能力。</w:t>
            </w:r>
            <w:r>
              <w:br/>
            </w:r>
            <w:r>
              <w:rPr>
                <w:rFonts w:ascii="仿宋_GB2312" w:hAnsi="仿宋_GB2312" w:cs="仿宋_GB2312" w:eastAsia="仿宋_GB2312"/>
                <w:sz w:val="24"/>
              </w:rPr>
              <w:t xml:space="preserve"> ▲</w:t>
            </w:r>
            <w:r>
              <w:rPr>
                <w:rFonts w:ascii="仿宋_GB2312" w:hAnsi="仿宋_GB2312" w:cs="仿宋_GB2312" w:eastAsia="仿宋_GB2312"/>
                <w:sz w:val="24"/>
                <w:b/>
              </w:rPr>
              <w:t>1.5大数据分析应用</w:t>
            </w:r>
          </w:p>
          <w:p>
            <w:pPr>
              <w:pStyle w:val="null3"/>
            </w:pPr>
            <w:r>
              <w:rPr>
                <w:rFonts w:ascii="仿宋_GB2312" w:hAnsi="仿宋_GB2312" w:cs="仿宋_GB2312" w:eastAsia="仿宋_GB2312"/>
                <w:sz w:val="24"/>
              </w:rPr>
              <w:t>支持大数据分析模型，完成内容包括但不限于长期离线车辆、故障车辆分析、高排车辆识别、加油点位识别等大数据分析模块。</w:t>
            </w:r>
          </w:p>
          <w:p>
            <w:pPr>
              <w:pStyle w:val="null3"/>
            </w:pPr>
            <w:r>
              <w:rPr>
                <w:rFonts w:ascii="仿宋_GB2312" w:hAnsi="仿宋_GB2312" w:cs="仿宋_GB2312" w:eastAsia="仿宋_GB2312"/>
                <w:sz w:val="24"/>
                <w:b/>
              </w:rPr>
              <w:t>1.6车辆档案综合查询</w:t>
            </w:r>
          </w:p>
          <w:p>
            <w:pPr>
              <w:pStyle w:val="null3"/>
            </w:pPr>
            <w:r>
              <w:rPr>
                <w:rFonts w:ascii="仿宋_GB2312" w:hAnsi="仿宋_GB2312" w:cs="仿宋_GB2312" w:eastAsia="仿宋_GB2312"/>
                <w:sz w:val="24"/>
              </w:rPr>
              <w:t>支持车辆档案查询、高排车辆查询、故障车辆查询、黑名单车辆查询等功能。</w:t>
            </w:r>
          </w:p>
          <w:p>
            <w:pPr>
              <w:pStyle w:val="null3"/>
            </w:pPr>
            <w:r>
              <w:rPr>
                <w:rFonts w:ascii="仿宋_GB2312" w:hAnsi="仿宋_GB2312" w:cs="仿宋_GB2312" w:eastAsia="仿宋_GB2312"/>
                <w:sz w:val="24"/>
              </w:rPr>
              <w:t>▲</w:t>
            </w:r>
            <w:r>
              <w:rPr>
                <w:rFonts w:ascii="仿宋_GB2312" w:hAnsi="仿宋_GB2312" w:cs="仿宋_GB2312" w:eastAsia="仿宋_GB2312"/>
                <w:sz w:val="24"/>
                <w:b/>
              </w:rPr>
              <w:t>1.7环保检测综合执法</w:t>
            </w:r>
          </w:p>
          <w:p>
            <w:pPr>
              <w:pStyle w:val="null3"/>
            </w:pPr>
            <w:r>
              <w:rPr>
                <w:rFonts w:ascii="仿宋_GB2312" w:hAnsi="仿宋_GB2312" w:cs="仿宋_GB2312" w:eastAsia="仿宋_GB2312"/>
                <w:sz w:val="24"/>
              </w:rPr>
              <w:t>支持环保检测综合执法所需的各项数据接入和查验工作，包括但不限于诊断仪数据接入、环保信息查验、OBD软件版本查验等功能。</w:t>
            </w:r>
          </w:p>
          <w:p>
            <w:pPr>
              <w:pStyle w:val="null3"/>
            </w:pPr>
            <w:r>
              <w:rPr>
                <w:rFonts w:ascii="仿宋_GB2312" w:hAnsi="仿宋_GB2312" w:cs="仿宋_GB2312" w:eastAsia="仿宋_GB2312"/>
                <w:sz w:val="24"/>
                <w:b/>
              </w:rPr>
              <w:t>1.8报表管理</w:t>
            </w:r>
          </w:p>
          <w:p>
            <w:pPr>
              <w:pStyle w:val="null3"/>
            </w:pPr>
            <w:r>
              <w:rPr>
                <w:rFonts w:ascii="仿宋_GB2312" w:hAnsi="仿宋_GB2312" w:cs="仿宋_GB2312" w:eastAsia="仿宋_GB2312"/>
                <w:sz w:val="24"/>
              </w:rPr>
              <w:t>系统可基于车辆远程监控数据，完成车辆运行日报管理模块，至少包括车辆运行报表、故障报警报表等，并支持分析报告定期生成。</w:t>
            </w:r>
          </w:p>
          <w:p>
            <w:pPr>
              <w:pStyle w:val="null3"/>
            </w:pPr>
            <w:r>
              <w:rPr>
                <w:rFonts w:ascii="仿宋_GB2312" w:hAnsi="仿宋_GB2312" w:cs="仿宋_GB2312" w:eastAsia="仿宋_GB2312"/>
                <w:sz w:val="24"/>
                <w:b/>
              </w:rPr>
              <w:t>1.9系统管理</w:t>
            </w:r>
          </w:p>
          <w:p>
            <w:pPr>
              <w:pStyle w:val="null3"/>
            </w:pPr>
            <w:r>
              <w:rPr>
                <w:rFonts w:ascii="仿宋_GB2312" w:hAnsi="仿宋_GB2312" w:cs="仿宋_GB2312" w:eastAsia="仿宋_GB2312"/>
                <w:sz w:val="24"/>
              </w:rPr>
              <w:t>支持完成系统基本的用户管理、权限管理、日志管理等功能。</w:t>
            </w:r>
          </w:p>
          <w:p>
            <w:pPr>
              <w:pStyle w:val="null3"/>
            </w:pPr>
            <w:r>
              <w:rPr>
                <w:rFonts w:ascii="仿宋_GB2312" w:hAnsi="仿宋_GB2312" w:cs="仿宋_GB2312" w:eastAsia="仿宋_GB2312"/>
                <w:sz w:val="24"/>
                <w:b/>
              </w:rPr>
              <w:t>2、企业门禁监控系统</w:t>
            </w:r>
          </w:p>
          <w:p>
            <w:pPr>
              <w:pStyle w:val="null3"/>
            </w:pPr>
            <w:r>
              <w:rPr>
                <w:rFonts w:ascii="仿宋_GB2312" w:hAnsi="仿宋_GB2312" w:cs="仿宋_GB2312" w:eastAsia="仿宋_GB2312"/>
                <w:sz w:val="24"/>
              </w:rPr>
              <w:t>▲</w:t>
            </w:r>
            <w:r>
              <w:rPr>
                <w:rFonts w:ascii="仿宋_GB2312" w:hAnsi="仿宋_GB2312" w:cs="仿宋_GB2312" w:eastAsia="仿宋_GB2312"/>
                <w:sz w:val="24"/>
                <w:b/>
              </w:rPr>
              <w:t>2.1门禁系统实时管控</w:t>
            </w:r>
          </w:p>
          <w:p>
            <w:pPr>
              <w:pStyle w:val="null3"/>
            </w:pPr>
            <w:r>
              <w:rPr>
                <w:rFonts w:ascii="仿宋_GB2312" w:hAnsi="仿宋_GB2312" w:cs="仿宋_GB2312" w:eastAsia="仿宋_GB2312"/>
                <w:sz w:val="24"/>
              </w:rPr>
              <w:t>构建全省域门禁实时管控一张图系统，完成重点企业门禁系统运输数据、车辆通行流量、排放等级及清洁运输动态等核心指标实时监测。</w:t>
            </w:r>
          </w:p>
          <w:p>
            <w:pPr>
              <w:pStyle w:val="null3"/>
            </w:pPr>
            <w:r>
              <w:rPr>
                <w:rFonts w:ascii="仿宋_GB2312" w:hAnsi="仿宋_GB2312" w:cs="仿宋_GB2312" w:eastAsia="仿宋_GB2312"/>
                <w:sz w:val="24"/>
                <w:b/>
              </w:rPr>
              <w:t>2.2全省数据接入</w:t>
            </w:r>
          </w:p>
          <w:p>
            <w:pPr>
              <w:pStyle w:val="null3"/>
            </w:pPr>
            <w:r>
              <w:rPr>
                <w:rFonts w:ascii="仿宋_GB2312" w:hAnsi="仿宋_GB2312" w:cs="仿宋_GB2312" w:eastAsia="仿宋_GB2312"/>
                <w:sz w:val="24"/>
              </w:rPr>
              <w:t>支持各业务数据对接，建立省级基础信息库，包括重点用车企业、企业用车/机械、黑名单车辆等。</w:t>
            </w:r>
          </w:p>
          <w:p>
            <w:pPr>
              <w:pStyle w:val="null3"/>
            </w:pPr>
            <w:r>
              <w:rPr>
                <w:rFonts w:ascii="仿宋_GB2312" w:hAnsi="仿宋_GB2312" w:cs="仿宋_GB2312" w:eastAsia="仿宋_GB2312"/>
                <w:sz w:val="24"/>
              </w:rPr>
              <w:t>▲</w:t>
            </w:r>
            <w:r>
              <w:rPr>
                <w:rFonts w:ascii="仿宋_GB2312" w:hAnsi="仿宋_GB2312" w:cs="仿宋_GB2312" w:eastAsia="仿宋_GB2312"/>
                <w:sz w:val="24"/>
                <w:b/>
              </w:rPr>
              <w:t>2.3专题分析</w:t>
            </w:r>
          </w:p>
          <w:p>
            <w:pPr>
              <w:pStyle w:val="null3"/>
            </w:pPr>
            <w:r>
              <w:rPr>
                <w:rFonts w:ascii="仿宋_GB2312" w:hAnsi="仿宋_GB2312" w:cs="仿宋_GB2312" w:eastAsia="仿宋_GB2312"/>
                <w:sz w:val="24"/>
              </w:rPr>
              <w:t>系统可构建企业绩效评级与清洁运输多维分析体系，实现全省重点企业运输数据动态监测及重污染响应可视化呈现。</w:t>
            </w:r>
          </w:p>
          <w:p>
            <w:pPr>
              <w:pStyle w:val="null3"/>
            </w:pPr>
            <w:r>
              <w:rPr>
                <w:rFonts w:ascii="仿宋_GB2312" w:hAnsi="仿宋_GB2312" w:cs="仿宋_GB2312" w:eastAsia="仿宋_GB2312"/>
                <w:sz w:val="24"/>
                <w:b/>
              </w:rPr>
              <w:t>2.4台账管理</w:t>
            </w:r>
          </w:p>
          <w:p>
            <w:pPr>
              <w:pStyle w:val="null3"/>
            </w:pPr>
            <w:r>
              <w:rPr>
                <w:rFonts w:ascii="仿宋_GB2312" w:hAnsi="仿宋_GB2312" w:cs="仿宋_GB2312" w:eastAsia="仿宋_GB2312"/>
                <w:sz w:val="24"/>
              </w:rPr>
              <w:t>支持实现运输车辆、厂内车辆及非道路移动机械三类电子台账的统一管理。</w:t>
            </w:r>
          </w:p>
          <w:p>
            <w:pPr>
              <w:pStyle w:val="null3"/>
            </w:pPr>
            <w:r>
              <w:rPr>
                <w:rFonts w:ascii="仿宋_GB2312" w:hAnsi="仿宋_GB2312" w:cs="仿宋_GB2312" w:eastAsia="仿宋_GB2312"/>
                <w:sz w:val="24"/>
                <w:b/>
              </w:rPr>
              <w:t>2.5违规记录</w:t>
            </w:r>
          </w:p>
          <w:p>
            <w:pPr>
              <w:pStyle w:val="null3"/>
            </w:pPr>
            <w:r>
              <w:rPr>
                <w:rFonts w:ascii="仿宋_GB2312" w:hAnsi="仿宋_GB2312" w:cs="仿宋_GB2312" w:eastAsia="仿宋_GB2312"/>
                <w:sz w:val="24"/>
              </w:rPr>
              <w:t>支持实时违规进出及运能超限智能预警体系，实现数据自动监测、分析预警与处置工单生成。</w:t>
            </w:r>
          </w:p>
          <w:p>
            <w:pPr>
              <w:pStyle w:val="null3"/>
            </w:pPr>
            <w:r>
              <w:rPr>
                <w:rFonts w:ascii="仿宋_GB2312" w:hAnsi="仿宋_GB2312" w:cs="仿宋_GB2312" w:eastAsia="仿宋_GB2312"/>
                <w:sz w:val="24"/>
                <w:b/>
              </w:rPr>
              <w:t>2.6应急方案</w:t>
            </w:r>
          </w:p>
          <w:p>
            <w:pPr>
              <w:pStyle w:val="null3"/>
            </w:pPr>
            <w:r>
              <w:rPr>
                <w:rFonts w:ascii="仿宋_GB2312" w:hAnsi="仿宋_GB2312" w:cs="仿宋_GB2312" w:eastAsia="仿宋_GB2312"/>
                <w:sz w:val="24"/>
              </w:rPr>
              <w:t>系统可实现重污染天气多级预警配置体系，支持预警参数动态增删改及实时生效功能。</w:t>
            </w:r>
          </w:p>
          <w:p>
            <w:pPr>
              <w:pStyle w:val="null3"/>
            </w:pPr>
            <w:r>
              <w:rPr>
                <w:rFonts w:ascii="仿宋_GB2312" w:hAnsi="仿宋_GB2312" w:cs="仿宋_GB2312" w:eastAsia="仿宋_GB2312"/>
                <w:sz w:val="24"/>
                <w:b/>
              </w:rPr>
              <w:t>2.7统计分析</w:t>
            </w:r>
          </w:p>
          <w:p>
            <w:pPr>
              <w:pStyle w:val="null3"/>
            </w:pPr>
            <w:r>
              <w:rPr>
                <w:rFonts w:ascii="仿宋_GB2312" w:hAnsi="仿宋_GB2312" w:cs="仿宋_GB2312" w:eastAsia="仿宋_GB2312"/>
                <w:sz w:val="24"/>
              </w:rPr>
              <w:t>支持统计报表模块，自动生成多维度数据动态分析报表。</w:t>
            </w:r>
          </w:p>
          <w:p>
            <w:pPr>
              <w:pStyle w:val="null3"/>
            </w:pPr>
            <w:r>
              <w:rPr>
                <w:rFonts w:ascii="仿宋_GB2312" w:hAnsi="仿宋_GB2312" w:cs="仿宋_GB2312" w:eastAsia="仿宋_GB2312"/>
                <w:sz w:val="24"/>
                <w:b/>
              </w:rPr>
              <w:t>2.8数据共享</w:t>
            </w:r>
          </w:p>
          <w:p>
            <w:pPr>
              <w:pStyle w:val="null3"/>
            </w:pPr>
            <w:r>
              <w:rPr>
                <w:rFonts w:ascii="仿宋_GB2312" w:hAnsi="仿宋_GB2312" w:cs="仿宋_GB2312" w:eastAsia="仿宋_GB2312"/>
                <w:sz w:val="24"/>
              </w:rPr>
              <w:t>根据构建国家-省-市三级数据互通枢纽的需求，可实现车辆信息自动上报生态环境部平台及省市级平台双向数据共享功能。</w:t>
            </w:r>
          </w:p>
          <w:p>
            <w:pPr>
              <w:pStyle w:val="null3"/>
            </w:pPr>
            <w:r>
              <w:rPr>
                <w:rFonts w:ascii="仿宋_GB2312" w:hAnsi="仿宋_GB2312" w:cs="仿宋_GB2312" w:eastAsia="仿宋_GB2312"/>
                <w:sz w:val="24"/>
                <w:b/>
              </w:rPr>
              <w:t>（二）系统</w:t>
            </w:r>
            <w:r>
              <w:rPr>
                <w:rFonts w:ascii="仿宋_GB2312" w:hAnsi="仿宋_GB2312" w:cs="仿宋_GB2312" w:eastAsia="仿宋_GB2312"/>
                <w:sz w:val="24"/>
                <w:b/>
              </w:rPr>
              <w:t>需要满足的</w:t>
            </w:r>
            <w:r>
              <w:rPr>
                <w:rFonts w:ascii="仿宋_GB2312" w:hAnsi="仿宋_GB2312" w:cs="仿宋_GB2312" w:eastAsia="仿宋_GB2312"/>
                <w:sz w:val="24"/>
                <w:b/>
              </w:rPr>
              <w:t>通用</w:t>
            </w:r>
            <w:r>
              <w:rPr>
                <w:rFonts w:ascii="仿宋_GB2312" w:hAnsi="仿宋_GB2312" w:cs="仿宋_GB2312" w:eastAsia="仿宋_GB2312"/>
                <w:sz w:val="24"/>
                <w:b/>
              </w:rPr>
              <w:t>要求：</w:t>
            </w:r>
          </w:p>
          <w:p>
            <w:pPr>
              <w:pStyle w:val="null3"/>
            </w:pPr>
            <w:r>
              <w:rPr>
                <w:rFonts w:ascii="仿宋_GB2312" w:hAnsi="仿宋_GB2312" w:cs="仿宋_GB2312" w:eastAsia="仿宋_GB2312"/>
                <w:sz w:val="24"/>
              </w:rPr>
              <w:t>1.数据库需要满足的性能要求：</w:t>
            </w:r>
          </w:p>
          <w:p>
            <w:pPr>
              <w:pStyle w:val="null3"/>
            </w:pPr>
            <w:r>
              <w:rPr>
                <w:rFonts w:ascii="仿宋_GB2312" w:hAnsi="仿宋_GB2312" w:cs="仿宋_GB2312" w:eastAsia="仿宋_GB2312"/>
                <w:sz w:val="24"/>
              </w:rPr>
              <w:t>（1）并发访问量：不少于1000，系统应能够保持稳定的性能，不会出现明显的延迟或崩溃。</w:t>
            </w:r>
          </w:p>
          <w:p>
            <w:pPr>
              <w:pStyle w:val="null3"/>
            </w:pPr>
            <w:r>
              <w:rPr>
                <w:rFonts w:ascii="仿宋_GB2312" w:hAnsi="仿宋_GB2312" w:cs="仿宋_GB2312" w:eastAsia="仿宋_GB2312"/>
                <w:sz w:val="24"/>
              </w:rPr>
              <w:t>（2）响应速度：不高于500毫秒。</w:t>
            </w:r>
          </w:p>
          <w:p>
            <w:pPr>
              <w:pStyle w:val="null3"/>
            </w:pPr>
            <w:r>
              <w:rPr>
                <w:rFonts w:ascii="仿宋_GB2312" w:hAnsi="仿宋_GB2312" w:cs="仿宋_GB2312" w:eastAsia="仿宋_GB2312"/>
                <w:sz w:val="24"/>
              </w:rPr>
              <w:t>（3）系统吞吐量：每秒查询率不小于1000。</w:t>
            </w:r>
          </w:p>
          <w:p>
            <w:pPr>
              <w:pStyle w:val="null3"/>
            </w:pPr>
            <w:r>
              <w:rPr>
                <w:rFonts w:ascii="仿宋_GB2312" w:hAnsi="仿宋_GB2312" w:cs="仿宋_GB2312" w:eastAsia="仿宋_GB2312"/>
                <w:sz w:val="24"/>
              </w:rPr>
              <w:t>（4）数据更新频率：要求不超过24小时更新1次。</w:t>
            </w:r>
          </w:p>
          <w:p>
            <w:pPr>
              <w:pStyle w:val="null3"/>
            </w:pPr>
            <w:r>
              <w:rPr>
                <w:rFonts w:ascii="仿宋_GB2312" w:hAnsi="仿宋_GB2312" w:cs="仿宋_GB2312" w:eastAsia="仿宋_GB2312"/>
                <w:sz w:val="24"/>
              </w:rPr>
              <w:t>（5）数据安全性：建立严格的访问控制策略，根据用户的角色和权限限制其对数据的访问。</w:t>
            </w:r>
          </w:p>
          <w:p>
            <w:pPr>
              <w:pStyle w:val="null3"/>
            </w:pPr>
            <w:r>
              <w:rPr>
                <w:rFonts w:ascii="仿宋_GB2312" w:hAnsi="仿宋_GB2312" w:cs="仿宋_GB2312" w:eastAsia="仿宋_GB2312"/>
                <w:sz w:val="24"/>
              </w:rPr>
              <w:t>2、两个软件系统需满足的要求:</w:t>
            </w:r>
          </w:p>
          <w:p>
            <w:pPr>
              <w:pStyle w:val="null3"/>
            </w:pPr>
            <w:r>
              <w:rPr>
                <w:rFonts w:ascii="仿宋_GB2312" w:hAnsi="仿宋_GB2312" w:cs="仿宋_GB2312" w:eastAsia="仿宋_GB2312"/>
                <w:sz w:val="24"/>
              </w:rPr>
              <w:t>（1）技术符合性</w:t>
            </w:r>
          </w:p>
          <w:p>
            <w:pPr>
              <w:pStyle w:val="null3"/>
            </w:pPr>
            <w:r>
              <w:rPr>
                <w:rFonts w:ascii="仿宋_GB2312" w:hAnsi="仿宋_GB2312" w:cs="仿宋_GB2312" w:eastAsia="仿宋_GB2312"/>
                <w:sz w:val="24"/>
              </w:rPr>
              <w:t>能够接收《重型柴油车污染物排放限值与测量方法（中国第六阶段）》（GB17691—2018）》、《重型车排放远程监控技术规范 第 3 部分 通讯协议及数据格式》（HJ 1239.3—2021）协议重型车排放远程监控数据，包括发动机排放数据、OBD数据；</w:t>
            </w:r>
          </w:p>
          <w:p>
            <w:pPr>
              <w:pStyle w:val="null3"/>
            </w:pPr>
            <w:r>
              <w:rPr>
                <w:rFonts w:ascii="仿宋_GB2312" w:hAnsi="仿宋_GB2312" w:cs="仿宋_GB2312" w:eastAsia="仿宋_GB2312"/>
                <w:sz w:val="24"/>
              </w:rPr>
              <w:t>能够按照《重点行业移动源监管与核查技术指南》（HJ1321-2023）的要求实现全省重点行业企业门禁系统数据接入、省级监管系统相关功能要求、与国家平台数据上传功能等。</w:t>
            </w:r>
          </w:p>
          <w:p>
            <w:pPr>
              <w:pStyle w:val="null3"/>
            </w:pPr>
            <w:r>
              <w:rPr>
                <w:rFonts w:ascii="仿宋_GB2312" w:hAnsi="仿宋_GB2312" w:cs="仿宋_GB2312" w:eastAsia="仿宋_GB2312"/>
                <w:sz w:val="24"/>
              </w:rPr>
              <w:t>（2）安全性与保密性</w:t>
            </w:r>
          </w:p>
          <w:p>
            <w:pPr>
              <w:pStyle w:val="null3"/>
            </w:pPr>
            <w:r>
              <w:rPr>
                <w:rFonts w:ascii="仿宋_GB2312" w:hAnsi="仿宋_GB2312" w:cs="仿宋_GB2312" w:eastAsia="仿宋_GB2312"/>
                <w:sz w:val="24"/>
              </w:rPr>
              <w:t>系统与上级监管平台进行数据传输时，采用Token方式凭票据进行数据交换，加密方式符合国家标准。</w:t>
            </w:r>
          </w:p>
          <w:p>
            <w:pPr>
              <w:pStyle w:val="null3"/>
            </w:pPr>
            <w:r>
              <w:rPr>
                <w:rFonts w:ascii="仿宋_GB2312" w:hAnsi="仿宋_GB2312" w:cs="仿宋_GB2312" w:eastAsia="仿宋_GB2312"/>
                <w:sz w:val="24"/>
              </w:rPr>
              <w:t>（3）稳定性与可靠性</w:t>
            </w:r>
          </w:p>
          <w:p>
            <w:pPr>
              <w:pStyle w:val="null3"/>
            </w:pPr>
            <w:r>
              <w:rPr>
                <w:rFonts w:ascii="仿宋_GB2312" w:hAnsi="仿宋_GB2312" w:cs="仿宋_GB2312" w:eastAsia="仿宋_GB2312"/>
                <w:sz w:val="24"/>
              </w:rPr>
              <w:t>系统应具备高度的稳定性和可靠性，确保系统能够在断网、设备异常等情况下正常运行。</w:t>
            </w:r>
          </w:p>
          <w:p>
            <w:pPr>
              <w:pStyle w:val="null3"/>
              <w:jc w:val="both"/>
            </w:pPr>
            <w:r>
              <w:rPr>
                <w:rFonts w:ascii="仿宋_GB2312" w:hAnsi="仿宋_GB2312" w:cs="仿宋_GB2312" w:eastAsia="仿宋_GB2312"/>
                <w:sz w:val="24"/>
              </w:rPr>
              <w:t>（4）为确保陕西省重型车排放远程监控系统及企业门禁监控系统能够尽快正式投入运行，投标人应具有丰富的技术积累和可以展示的系统原型。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二、其他要求</w:t>
            </w:r>
          </w:p>
          <w:p>
            <w:pPr>
              <w:pStyle w:val="null3"/>
            </w:pPr>
            <w:r>
              <w:rPr>
                <w:rFonts w:ascii="仿宋_GB2312" w:hAnsi="仿宋_GB2312" w:cs="仿宋_GB2312" w:eastAsia="仿宋_GB2312"/>
                <w:sz w:val="24"/>
              </w:rPr>
              <w:t>（一）服务要求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服务</w:t>
            </w:r>
            <w:r>
              <w:rPr>
                <w:rFonts w:ascii="仿宋_GB2312" w:hAnsi="仿宋_GB2312" w:cs="仿宋_GB2312" w:eastAsia="仿宋_GB2312"/>
                <w:sz w:val="24"/>
              </w:rPr>
              <w:t>人员要求</w:t>
            </w:r>
            <w:r>
              <w:rPr>
                <w:rFonts w:ascii="仿宋_GB2312" w:hAnsi="仿宋_GB2312" w:cs="仿宋_GB2312" w:eastAsia="仿宋_GB2312"/>
                <w:sz w:val="24"/>
              </w:rPr>
              <w:t>：</w:t>
            </w:r>
          </w:p>
          <w:p>
            <w:pPr>
              <w:pStyle w:val="null3"/>
            </w:pPr>
            <w:r>
              <w:rPr>
                <w:rFonts w:ascii="仿宋_GB2312" w:hAnsi="仿宋_GB2312" w:cs="仿宋_GB2312" w:eastAsia="仿宋_GB2312"/>
                <w:sz w:val="24"/>
              </w:rPr>
              <w:t>投标人拟投入本项目人员团队不少于</w:t>
            </w:r>
            <w:r>
              <w:rPr>
                <w:rFonts w:ascii="仿宋_GB2312" w:hAnsi="仿宋_GB2312" w:cs="仿宋_GB2312" w:eastAsia="仿宋_GB2312"/>
                <w:sz w:val="24"/>
              </w:rPr>
              <w:t>5人，提供人员管理及配备方案，项目经理具有一定的专业技术及管理知识和管理经验，保障系统交付质量。</w:t>
            </w:r>
          </w:p>
          <w:p>
            <w:pPr>
              <w:pStyle w:val="null3"/>
            </w:pPr>
            <w:r>
              <w:rPr>
                <w:rFonts w:ascii="仿宋_GB2312" w:hAnsi="仿宋_GB2312" w:cs="仿宋_GB2312" w:eastAsia="仿宋_GB2312"/>
                <w:sz w:val="24"/>
              </w:rPr>
              <w:t>2、</w:t>
            </w:r>
            <w:r>
              <w:rPr>
                <w:rFonts w:ascii="仿宋_GB2312" w:hAnsi="仿宋_GB2312" w:cs="仿宋_GB2312" w:eastAsia="仿宋_GB2312"/>
                <w:sz w:val="24"/>
              </w:rPr>
              <w:t>成果交付：</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陕西省重型车排放远程监控系统软件</w:t>
            </w:r>
            <w:r>
              <w:rPr>
                <w:rFonts w:ascii="仿宋_GB2312" w:hAnsi="仿宋_GB2312" w:cs="仿宋_GB2312" w:eastAsia="仿宋_GB2312"/>
                <w:sz w:val="24"/>
              </w:rPr>
              <w:t>1套，与对应平台系统原型、平台系统需求说明书、系统设计说明书、数据库设计说明书、用户使用手册各一份；</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陕西省</w:t>
            </w:r>
            <w:r>
              <w:rPr>
                <w:rFonts w:ascii="仿宋_GB2312" w:hAnsi="仿宋_GB2312" w:cs="仿宋_GB2312" w:eastAsia="仿宋_GB2312"/>
                <w:sz w:val="24"/>
              </w:rPr>
              <w:t>企业门禁监控</w:t>
            </w:r>
            <w:r>
              <w:rPr>
                <w:rFonts w:ascii="仿宋_GB2312" w:hAnsi="仿宋_GB2312" w:cs="仿宋_GB2312" w:eastAsia="仿宋_GB2312"/>
                <w:sz w:val="24"/>
              </w:rPr>
              <w:t>系统软件</w:t>
            </w:r>
            <w:r>
              <w:rPr>
                <w:rFonts w:ascii="仿宋_GB2312" w:hAnsi="仿宋_GB2312" w:cs="仿宋_GB2312" w:eastAsia="仿宋_GB2312"/>
                <w:sz w:val="24"/>
              </w:rPr>
              <w:t>1套，与对应平台系统原型、平台系统需求说明书、系统设计说明书、数据库设计说明书、用户使用手册各一份</w:t>
            </w:r>
            <w:r>
              <w:rPr>
                <w:rFonts w:ascii="仿宋_GB2312" w:hAnsi="仿宋_GB2312" w:cs="仿宋_GB2312" w:eastAsia="仿宋_GB2312"/>
                <w:sz w:val="24"/>
              </w:rPr>
              <w:t>。</w:t>
            </w:r>
          </w:p>
          <w:p>
            <w:pPr>
              <w:pStyle w:val="null3"/>
            </w:pPr>
            <w:r>
              <w:rPr>
                <w:rFonts w:ascii="仿宋_GB2312" w:hAnsi="仿宋_GB2312" w:cs="仿宋_GB2312" w:eastAsia="仿宋_GB2312"/>
                <w:sz w:val="24"/>
              </w:rPr>
              <w:t>3、</w:t>
            </w:r>
            <w:r>
              <w:rPr>
                <w:rFonts w:ascii="仿宋_GB2312" w:hAnsi="仿宋_GB2312" w:cs="仿宋_GB2312" w:eastAsia="仿宋_GB2312"/>
                <w:sz w:val="24"/>
              </w:rPr>
              <w:t>质量保障：投标人应建立完善的质量控制体系，确保</w:t>
            </w:r>
            <w:r>
              <w:rPr>
                <w:rFonts w:ascii="仿宋_GB2312" w:hAnsi="仿宋_GB2312" w:cs="仿宋_GB2312" w:eastAsia="仿宋_GB2312"/>
                <w:sz w:val="24"/>
              </w:rPr>
              <w:t>交付</w:t>
            </w:r>
            <w:r>
              <w:rPr>
                <w:rFonts w:ascii="仿宋_GB2312" w:hAnsi="仿宋_GB2312" w:cs="仿宋_GB2312" w:eastAsia="仿宋_GB2312"/>
                <w:sz w:val="24"/>
              </w:rPr>
              <w:t>过程和</w:t>
            </w:r>
            <w:r>
              <w:rPr>
                <w:rFonts w:ascii="仿宋_GB2312" w:hAnsi="仿宋_GB2312" w:cs="仿宋_GB2312" w:eastAsia="仿宋_GB2312"/>
                <w:sz w:val="24"/>
              </w:rPr>
              <w:t>交付</w:t>
            </w:r>
            <w:r>
              <w:rPr>
                <w:rFonts w:ascii="仿宋_GB2312" w:hAnsi="仿宋_GB2312" w:cs="仿宋_GB2312" w:eastAsia="仿宋_GB2312"/>
                <w:sz w:val="24"/>
              </w:rPr>
              <w:t>成果符合国家、陕西省及行业相关规定，且内容真实、准确、完整。</w:t>
            </w:r>
          </w:p>
          <w:p>
            <w:pPr>
              <w:pStyle w:val="null3"/>
            </w:pPr>
            <w:r>
              <w:rPr>
                <w:rFonts w:ascii="仿宋_GB2312" w:hAnsi="仿宋_GB2312" w:cs="仿宋_GB2312" w:eastAsia="仿宋_GB2312"/>
                <w:sz w:val="24"/>
              </w:rPr>
              <w:t>4、投标人对移动源环境管理体系有深刻理解，为采购人的系统开发匹配业务提供全过程咨询服务。具备移动源环境管理相关标准的研究和技术规范编制能力，有利于系统</w:t>
            </w:r>
            <w:r>
              <w:rPr>
                <w:rFonts w:ascii="仿宋_GB2312" w:hAnsi="仿宋_GB2312" w:cs="仿宋_GB2312" w:eastAsia="仿宋_GB2312"/>
                <w:sz w:val="24"/>
              </w:rPr>
              <w:t>功能定制和</w:t>
            </w:r>
            <w:r>
              <w:rPr>
                <w:rFonts w:ascii="仿宋_GB2312" w:hAnsi="仿宋_GB2312" w:cs="仿宋_GB2312" w:eastAsia="仿宋_GB2312"/>
                <w:sz w:val="24"/>
              </w:rPr>
              <w:t>优化。</w:t>
            </w:r>
          </w:p>
          <w:p>
            <w:pPr>
              <w:pStyle w:val="null3"/>
            </w:pPr>
            <w:r>
              <w:rPr>
                <w:rFonts w:ascii="仿宋_GB2312" w:hAnsi="仿宋_GB2312" w:cs="仿宋_GB2312" w:eastAsia="仿宋_GB2312"/>
                <w:sz w:val="24"/>
              </w:rPr>
              <w:t>5、保密要求：</w:t>
            </w:r>
          </w:p>
          <w:p>
            <w:pPr>
              <w:pStyle w:val="null3"/>
            </w:pPr>
            <w:r>
              <w:rPr>
                <w:rFonts w:ascii="仿宋_GB2312" w:hAnsi="仿宋_GB2312" w:cs="仿宋_GB2312" w:eastAsia="仿宋_GB2312"/>
                <w:sz w:val="24"/>
              </w:rPr>
              <w:t>投标人</w:t>
            </w:r>
            <w:r>
              <w:rPr>
                <w:rFonts w:ascii="仿宋_GB2312" w:hAnsi="仿宋_GB2312" w:cs="仿宋_GB2312" w:eastAsia="仿宋_GB2312"/>
                <w:sz w:val="24"/>
              </w:rPr>
              <w:t>应制定合理保密措施解决方案，确保项目团队</w:t>
            </w:r>
            <w:r>
              <w:rPr>
                <w:rFonts w:ascii="仿宋_GB2312" w:hAnsi="仿宋_GB2312" w:cs="仿宋_GB2312" w:eastAsia="仿宋_GB2312"/>
                <w:sz w:val="24"/>
              </w:rPr>
              <w:t>对服务过程中接触的敏感信息和数据履行保密义务</w:t>
            </w:r>
            <w:r>
              <w:rPr>
                <w:rFonts w:ascii="仿宋_GB2312" w:hAnsi="仿宋_GB2312" w:cs="仿宋_GB2312" w:eastAsia="仿宋_GB2312"/>
                <w:sz w:val="24"/>
              </w:rPr>
              <w:t>。本项目所形成的数据成果归采购人所有。未经采购人同意，</w:t>
            </w:r>
            <w:r>
              <w:rPr>
                <w:rFonts w:ascii="仿宋_GB2312" w:hAnsi="仿宋_GB2312" w:cs="仿宋_GB2312" w:eastAsia="仿宋_GB2312"/>
                <w:sz w:val="24"/>
              </w:rPr>
              <w:t>投标人</w:t>
            </w:r>
            <w:r>
              <w:rPr>
                <w:rFonts w:ascii="仿宋_GB2312" w:hAnsi="仿宋_GB2312" w:cs="仿宋_GB2312" w:eastAsia="仿宋_GB2312"/>
                <w:sz w:val="24"/>
              </w:rPr>
              <w:t>不得以商业目的使用该资料或者开发和生产其他产品。</w:t>
            </w:r>
            <w:r>
              <w:rPr>
                <w:rFonts w:ascii="仿宋_GB2312" w:hAnsi="仿宋_GB2312" w:cs="仿宋_GB2312" w:eastAsia="仿宋_GB2312"/>
                <w:sz w:val="24"/>
              </w:rPr>
              <w:t>投标人需严格遵守国家保密法律法规及省厅相关保密规定。</w:t>
            </w:r>
          </w:p>
          <w:p>
            <w:pPr>
              <w:pStyle w:val="null3"/>
            </w:pPr>
            <w:r>
              <w:rPr>
                <w:rFonts w:ascii="仿宋_GB2312" w:hAnsi="仿宋_GB2312" w:cs="仿宋_GB2312" w:eastAsia="仿宋_GB2312"/>
                <w:sz w:val="24"/>
              </w:rPr>
              <w:t>（二）</w:t>
            </w:r>
            <w:r>
              <w:rPr>
                <w:rFonts w:ascii="仿宋_GB2312" w:hAnsi="仿宋_GB2312" w:cs="仿宋_GB2312" w:eastAsia="仿宋_GB2312"/>
                <w:sz w:val="24"/>
              </w:rPr>
              <w:t>商务要求</w:t>
            </w:r>
          </w:p>
          <w:p>
            <w:pPr>
              <w:pStyle w:val="null3"/>
            </w:pPr>
            <w:r>
              <w:rPr>
                <w:rFonts w:ascii="仿宋_GB2312" w:hAnsi="仿宋_GB2312" w:cs="仿宋_GB2312" w:eastAsia="仿宋_GB2312"/>
                <w:sz w:val="24"/>
              </w:rPr>
              <w:t>1、交货期限及地点</w:t>
            </w:r>
          </w:p>
          <w:p>
            <w:pPr>
              <w:pStyle w:val="null3"/>
            </w:pPr>
            <w:r>
              <w:rPr>
                <w:rFonts w:ascii="仿宋_GB2312" w:hAnsi="仿宋_GB2312" w:cs="仿宋_GB2312" w:eastAsia="仿宋_GB2312"/>
                <w:sz w:val="24"/>
              </w:rPr>
              <w:t>交货期限：合同签订之日起</w:t>
            </w:r>
            <w:r>
              <w:rPr>
                <w:rFonts w:ascii="仿宋_GB2312" w:hAnsi="仿宋_GB2312" w:cs="仿宋_GB2312" w:eastAsia="仿宋_GB2312"/>
                <w:sz w:val="24"/>
              </w:rPr>
              <w:t>120</w:t>
            </w:r>
            <w:r>
              <w:rPr>
                <w:rFonts w:ascii="仿宋_GB2312" w:hAnsi="仿宋_GB2312" w:cs="仿宋_GB2312" w:eastAsia="仿宋_GB2312"/>
                <w:sz w:val="24"/>
              </w:rPr>
              <w:t>日历日内完成交付、安装及调试。</w:t>
            </w:r>
          </w:p>
          <w:p>
            <w:pPr>
              <w:pStyle w:val="null3"/>
            </w:pPr>
            <w:r>
              <w:rPr>
                <w:rFonts w:ascii="仿宋_GB2312" w:hAnsi="仿宋_GB2312" w:cs="仿宋_GB2312" w:eastAsia="仿宋_GB2312"/>
                <w:sz w:val="24"/>
              </w:rPr>
              <w:t>交货地点：采购人指定地点</w:t>
            </w:r>
          </w:p>
          <w:p>
            <w:pPr>
              <w:pStyle w:val="null3"/>
            </w:pPr>
            <w:r>
              <w:rPr>
                <w:rFonts w:ascii="仿宋_GB2312" w:hAnsi="仿宋_GB2312" w:cs="仿宋_GB2312" w:eastAsia="仿宋_GB2312"/>
                <w:sz w:val="24"/>
              </w:rPr>
              <w:t>2、质保期：自项目验收合格之日起，</w:t>
            </w:r>
            <w:r>
              <w:rPr>
                <w:rFonts w:ascii="仿宋_GB2312" w:hAnsi="仿宋_GB2312" w:cs="仿宋_GB2312" w:eastAsia="仿宋_GB2312"/>
                <w:sz w:val="24"/>
              </w:rPr>
              <w:t>中标供应商</w:t>
            </w:r>
            <w:r>
              <w:rPr>
                <w:rFonts w:ascii="仿宋_GB2312" w:hAnsi="仿宋_GB2312" w:cs="仿宋_GB2312" w:eastAsia="仿宋_GB2312"/>
                <w:sz w:val="24"/>
              </w:rPr>
              <w:t>提供</w:t>
            </w:r>
            <w:r>
              <w:rPr>
                <w:rFonts w:ascii="仿宋_GB2312" w:hAnsi="仿宋_GB2312" w:cs="仿宋_GB2312" w:eastAsia="仿宋_GB2312"/>
                <w:sz w:val="24"/>
              </w:rPr>
              <w:t>一年</w:t>
            </w:r>
            <w:r>
              <w:rPr>
                <w:rFonts w:ascii="仿宋_GB2312" w:hAnsi="仿宋_GB2312" w:cs="仿宋_GB2312" w:eastAsia="仿宋_GB2312"/>
                <w:sz w:val="24"/>
              </w:rPr>
              <w:t>原厂质保。</w:t>
            </w:r>
          </w:p>
          <w:p>
            <w:pPr>
              <w:pStyle w:val="null3"/>
            </w:pPr>
            <w:r>
              <w:rPr>
                <w:rFonts w:ascii="仿宋_GB2312" w:hAnsi="仿宋_GB2312" w:cs="仿宋_GB2312" w:eastAsia="仿宋_GB2312"/>
                <w:sz w:val="24"/>
              </w:rPr>
              <w:t>3、售后服务</w:t>
            </w:r>
            <w:r>
              <w:rPr>
                <w:rFonts w:ascii="仿宋_GB2312" w:hAnsi="仿宋_GB2312" w:cs="仿宋_GB2312" w:eastAsia="仿宋_GB2312"/>
                <w:sz w:val="24"/>
              </w:rPr>
              <w:t>要求</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1）供应商须提供7*24小时售后服务，</w:t>
            </w:r>
            <w:r>
              <w:rPr>
                <w:rFonts w:ascii="仿宋_GB2312" w:hAnsi="仿宋_GB2312" w:cs="仿宋_GB2312" w:eastAsia="仿宋_GB2312"/>
                <w:sz w:val="24"/>
              </w:rPr>
              <w:t>支持</w:t>
            </w:r>
            <w:r>
              <w:rPr>
                <w:rFonts w:ascii="仿宋_GB2312" w:hAnsi="仿宋_GB2312" w:cs="仿宋_GB2312" w:eastAsia="仿宋_GB2312"/>
                <w:sz w:val="24"/>
              </w:rPr>
              <w:t>多种形式</w:t>
            </w:r>
            <w:r>
              <w:rPr>
                <w:rFonts w:ascii="仿宋_GB2312" w:hAnsi="仿宋_GB2312" w:cs="仿宋_GB2312" w:eastAsia="仿宋_GB2312"/>
                <w:sz w:val="24"/>
              </w:rPr>
              <w:t>技术</w:t>
            </w:r>
            <w:r>
              <w:rPr>
                <w:rFonts w:ascii="仿宋_GB2312" w:hAnsi="仿宋_GB2312" w:cs="仿宋_GB2312" w:eastAsia="仿宋_GB2312"/>
                <w:sz w:val="24"/>
              </w:rPr>
              <w:t>服务，包含电话、电子邮件、远程连接、支持在线问题反馈等；支持同城</w:t>
            </w:r>
            <w:r>
              <w:rPr>
                <w:rFonts w:ascii="仿宋_GB2312" w:hAnsi="仿宋_GB2312" w:cs="仿宋_GB2312" w:eastAsia="仿宋_GB2312"/>
                <w:sz w:val="24"/>
              </w:rPr>
              <w:t>4h、异地12h响应要求，两个工作日解决问题，对于未能解决的问题和故障提供可行的升级方案；</w:t>
            </w:r>
          </w:p>
          <w:p>
            <w:pPr>
              <w:pStyle w:val="null3"/>
            </w:pPr>
            <w:r>
              <w:rPr>
                <w:rFonts w:ascii="仿宋_GB2312" w:hAnsi="仿宋_GB2312" w:cs="仿宋_GB2312" w:eastAsia="仿宋_GB2312"/>
                <w:sz w:val="24"/>
              </w:rPr>
              <w:t>（</w:t>
            </w:r>
            <w:r>
              <w:rPr>
                <w:rFonts w:ascii="仿宋_GB2312" w:hAnsi="仿宋_GB2312" w:cs="仿宋_GB2312" w:eastAsia="仿宋_GB2312"/>
                <w:sz w:val="24"/>
              </w:rPr>
              <w:t>2）售后</w:t>
            </w:r>
            <w:r>
              <w:rPr>
                <w:rFonts w:ascii="仿宋_GB2312" w:hAnsi="仿宋_GB2312" w:cs="仿宋_GB2312" w:eastAsia="仿宋_GB2312"/>
                <w:sz w:val="24"/>
              </w:rPr>
              <w:t>服务周期内支持版本免费升级；</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）供应商提供原厂质保期及免费维修和保养，质保期内出现质量问题，需安排售后人员进行售后维修，无法维修需要免费更换。</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）供应商应为本项目配备相应的实施团队人员和售后服务人员，应具备良好的服务水平和应急处置能力，以确保供货速度、按时完成。</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）质保期内，因产品制造及安装质量不良而产生损坏或不能正常工作，供应商应承担一切责任并免费提供维修，并提供备品备件保证采购人正常使用。</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）供应商应制定合理可行的售后服务方案，通过优化组织程序，提高不可预见事件的处理效率、加强控制保障等多种手段，确保项目顺利进行。</w:t>
            </w:r>
          </w:p>
          <w:p>
            <w:pPr>
              <w:pStyle w:val="null3"/>
            </w:pPr>
            <w:r>
              <w:rPr>
                <w:rFonts w:ascii="仿宋_GB2312" w:hAnsi="仿宋_GB2312" w:cs="仿宋_GB2312" w:eastAsia="仿宋_GB2312"/>
                <w:sz w:val="24"/>
              </w:rPr>
              <w:t>4、</w:t>
            </w:r>
            <w:r>
              <w:rPr>
                <w:rFonts w:ascii="仿宋_GB2312" w:hAnsi="仿宋_GB2312" w:cs="仿宋_GB2312" w:eastAsia="仿宋_GB2312"/>
                <w:sz w:val="24"/>
              </w:rPr>
              <w:t>培训</w:t>
            </w:r>
            <w:r>
              <w:rPr>
                <w:rFonts w:ascii="仿宋_GB2312" w:hAnsi="仿宋_GB2312" w:cs="仿宋_GB2312" w:eastAsia="仿宋_GB2312"/>
                <w:sz w:val="24"/>
              </w:rPr>
              <w:t>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项目通过最终验收后，在采购人指定地点，由供应商派专业技术人员对采购人的相关人员进行产品使用和操作的培训，培训所产生的所有费用由供应商承担。</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培训效果达到采购人的使用人员能熟练使用产品及操作。</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培训结束后，供应商须继续提供技术咨询服务。</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培训期间的技术资料</w:t>
            </w:r>
            <w:r>
              <w:rPr>
                <w:rFonts w:ascii="仿宋_GB2312" w:hAnsi="仿宋_GB2312" w:cs="仿宋_GB2312" w:eastAsia="仿宋_GB2312"/>
                <w:sz w:val="24"/>
              </w:rPr>
              <w:t>（包括但不限于</w:t>
            </w:r>
            <w:r>
              <w:rPr>
                <w:rFonts w:ascii="仿宋_GB2312" w:hAnsi="仿宋_GB2312" w:cs="仿宋_GB2312" w:eastAsia="仿宋_GB2312"/>
                <w:sz w:val="24"/>
              </w:rPr>
              <w:t>培训材料、产品手册、培训视频等培训相关内容</w:t>
            </w:r>
            <w:r>
              <w:rPr>
                <w:rFonts w:ascii="仿宋_GB2312" w:hAnsi="仿宋_GB2312" w:cs="仿宋_GB2312" w:eastAsia="仿宋_GB2312"/>
                <w:sz w:val="24"/>
              </w:rPr>
              <w:t>）</w:t>
            </w:r>
            <w:r>
              <w:rPr>
                <w:rFonts w:ascii="仿宋_GB2312" w:hAnsi="仿宋_GB2312" w:cs="仿宋_GB2312" w:eastAsia="仿宋_GB2312"/>
                <w:sz w:val="24"/>
              </w:rPr>
              <w:t>由供应商提供。</w:t>
            </w:r>
          </w:p>
          <w:p>
            <w:pPr>
              <w:pStyle w:val="null3"/>
            </w:pPr>
            <w:r>
              <w:rPr>
                <w:rFonts w:ascii="仿宋_GB2312" w:hAnsi="仿宋_GB2312" w:cs="仿宋_GB2312" w:eastAsia="仿宋_GB2312"/>
                <w:sz w:val="24"/>
              </w:rPr>
              <w:t>5</w:t>
            </w:r>
            <w:r>
              <w:rPr>
                <w:rFonts w:ascii="仿宋_GB2312" w:hAnsi="仿宋_GB2312" w:cs="仿宋_GB2312" w:eastAsia="仿宋_GB2312"/>
                <w:sz w:val="24"/>
              </w:rPr>
              <w:t>、验收要求</w:t>
            </w:r>
          </w:p>
          <w:p>
            <w:pPr>
              <w:pStyle w:val="null3"/>
            </w:pPr>
            <w:r>
              <w:rPr>
                <w:rFonts w:ascii="仿宋_GB2312" w:hAnsi="仿宋_GB2312" w:cs="仿宋_GB2312" w:eastAsia="仿宋_GB2312"/>
                <w:sz w:val="24"/>
              </w:rPr>
              <w:t>中标供应商对各系统功能检查测试自检合格后，由采购人组织验收，中标供应商须配合提供相关的验收材料和验收文档。未通过验收的产品予以退回，由中标供应商承担相关责任，赔偿相关损失。</w:t>
            </w:r>
          </w:p>
          <w:p>
            <w:pPr>
              <w:pStyle w:val="null3"/>
            </w:pPr>
            <w:r>
              <w:rPr>
                <w:rFonts w:ascii="仿宋_GB2312" w:hAnsi="仿宋_GB2312" w:cs="仿宋_GB2312" w:eastAsia="仿宋_GB2312"/>
                <w:sz w:val="24"/>
              </w:rPr>
              <w:t>（三）报价</w:t>
            </w:r>
            <w:r>
              <w:rPr>
                <w:rFonts w:ascii="仿宋_GB2312" w:hAnsi="仿宋_GB2312" w:cs="仿宋_GB2312" w:eastAsia="仿宋_GB2312"/>
                <w:sz w:val="24"/>
              </w:rPr>
              <w:t>要求</w:t>
            </w:r>
          </w:p>
          <w:p>
            <w:pPr>
              <w:pStyle w:val="null3"/>
            </w:pPr>
            <w:r>
              <w:rPr>
                <w:rFonts w:ascii="仿宋_GB2312" w:hAnsi="仿宋_GB2312" w:cs="仿宋_GB2312" w:eastAsia="仿宋_GB2312"/>
                <w:sz w:val="24"/>
              </w:rPr>
              <w:t>投标人</w:t>
            </w:r>
            <w:r>
              <w:rPr>
                <w:rFonts w:ascii="仿宋_GB2312" w:hAnsi="仿宋_GB2312" w:cs="仿宋_GB2312" w:eastAsia="仿宋_GB2312"/>
                <w:sz w:val="24"/>
              </w:rPr>
              <w:t>的投标报价应包括完成本项目供货及安装调试、上线运营等完成本项目全部费用，</w:t>
            </w:r>
            <w:r>
              <w:rPr>
                <w:rFonts w:ascii="仿宋_GB2312" w:hAnsi="仿宋_GB2312" w:cs="仿宋_GB2312" w:eastAsia="仿宋_GB2312"/>
                <w:sz w:val="24"/>
              </w:rPr>
              <w:t>投标人</w:t>
            </w:r>
            <w:r>
              <w:rPr>
                <w:rFonts w:ascii="仿宋_GB2312" w:hAnsi="仿宋_GB2312" w:cs="仿宋_GB2312" w:eastAsia="仿宋_GB2312"/>
                <w:sz w:val="24"/>
              </w:rPr>
              <w:t>对报价的准确性负责，任何漏报、错报等风险均由</w:t>
            </w:r>
            <w:r>
              <w:rPr>
                <w:rFonts w:ascii="仿宋_GB2312" w:hAnsi="仿宋_GB2312" w:cs="仿宋_GB2312" w:eastAsia="仿宋_GB2312"/>
                <w:sz w:val="24"/>
              </w:rPr>
              <w:t>投标人</w:t>
            </w:r>
            <w:r>
              <w:rPr>
                <w:rFonts w:ascii="仿宋_GB2312" w:hAnsi="仿宋_GB2312" w:cs="仿宋_GB2312" w:eastAsia="仿宋_GB2312"/>
                <w:sz w:val="24"/>
              </w:rPr>
              <w:t>自行承担。</w:t>
            </w:r>
          </w:p>
          <w:p>
            <w:pPr>
              <w:pStyle w:val="null3"/>
            </w:pPr>
            <w:r>
              <w:rPr>
                <w:rFonts w:ascii="仿宋_GB2312" w:hAnsi="仿宋_GB2312" w:cs="仿宋_GB2312" w:eastAsia="仿宋_GB2312"/>
                <w:sz w:val="24"/>
              </w:rPr>
              <w:t>（四）</w:t>
            </w:r>
            <w:r>
              <w:rPr>
                <w:rFonts w:ascii="仿宋_GB2312" w:hAnsi="仿宋_GB2312" w:cs="仿宋_GB2312" w:eastAsia="仿宋_GB2312"/>
                <w:sz w:val="24"/>
              </w:rPr>
              <w:t>需要由</w:t>
            </w:r>
            <w:r>
              <w:rPr>
                <w:rFonts w:ascii="仿宋_GB2312" w:hAnsi="仿宋_GB2312" w:cs="仿宋_GB2312" w:eastAsia="仿宋_GB2312"/>
                <w:sz w:val="24"/>
              </w:rPr>
              <w:t>投标人</w:t>
            </w:r>
            <w:r>
              <w:rPr>
                <w:rFonts w:ascii="仿宋_GB2312" w:hAnsi="仿宋_GB2312" w:cs="仿宋_GB2312" w:eastAsia="仿宋_GB2312"/>
                <w:sz w:val="24"/>
              </w:rPr>
              <w:t>提供的供货方案、解决方案或者组织方案</w:t>
            </w:r>
          </w:p>
          <w:p>
            <w:pPr>
              <w:pStyle w:val="null3"/>
            </w:pPr>
            <w:r>
              <w:rPr>
                <w:rFonts w:ascii="仿宋_GB2312" w:hAnsi="仿宋_GB2312" w:cs="仿宋_GB2312" w:eastAsia="仿宋_GB2312"/>
                <w:sz w:val="24"/>
              </w:rPr>
              <w:t xml:space="preserve">1、提供针对项目的理解和难点、关键点分析，提供供货保障措施。  </w:t>
            </w:r>
          </w:p>
          <w:p>
            <w:pPr>
              <w:pStyle w:val="null3"/>
            </w:pPr>
            <w:r>
              <w:rPr>
                <w:rFonts w:ascii="仿宋_GB2312" w:hAnsi="仿宋_GB2312" w:cs="仿宋_GB2312" w:eastAsia="仿宋_GB2312"/>
                <w:sz w:val="24"/>
              </w:rPr>
              <w:t>2、应急保障组织方案</w:t>
            </w:r>
          </w:p>
          <w:p>
            <w:pPr>
              <w:pStyle w:val="null3"/>
            </w:pPr>
            <w:r>
              <w:rPr>
                <w:rFonts w:ascii="仿宋_GB2312" w:hAnsi="仿宋_GB2312" w:cs="仿宋_GB2312" w:eastAsia="仿宋_GB2312"/>
                <w:sz w:val="24"/>
              </w:rPr>
              <w:t>投标人</w:t>
            </w:r>
            <w:r>
              <w:rPr>
                <w:rFonts w:ascii="仿宋_GB2312" w:hAnsi="仿宋_GB2312" w:cs="仿宋_GB2312" w:eastAsia="仿宋_GB2312"/>
                <w:sz w:val="24"/>
              </w:rPr>
              <w:t>应制定合理可行的应急保障组织方案，通过优化组织程序，提高不可预见事件的处理效率、加强控制保障等多种手段，确保项目顺利进行。</w:t>
            </w:r>
          </w:p>
          <w:p>
            <w:pPr>
              <w:pStyle w:val="null3"/>
            </w:pPr>
            <w:r>
              <w:rPr>
                <w:rFonts w:ascii="仿宋_GB2312" w:hAnsi="仿宋_GB2312" w:cs="仿宋_GB2312" w:eastAsia="仿宋_GB2312"/>
                <w:sz w:val="24"/>
              </w:rPr>
              <w:t>3、增值服务组织方案及合理化建议</w:t>
            </w:r>
          </w:p>
          <w:p>
            <w:pPr>
              <w:pStyle w:val="null3"/>
              <w:jc w:val="both"/>
            </w:pPr>
            <w:r>
              <w:rPr>
                <w:rFonts w:ascii="仿宋_GB2312" w:hAnsi="仿宋_GB2312" w:cs="仿宋_GB2312" w:eastAsia="仿宋_GB2312"/>
                <w:sz w:val="24"/>
              </w:rPr>
              <w:t>投标人</w:t>
            </w:r>
            <w:r>
              <w:rPr>
                <w:rFonts w:ascii="仿宋_GB2312" w:hAnsi="仿宋_GB2312" w:cs="仿宋_GB2312" w:eastAsia="仿宋_GB2312"/>
                <w:sz w:val="24"/>
              </w:rPr>
              <w:t>根据自身情况提供增值服务组织方案及合理化建议。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合同签订之日起120日历日内完成交付、安装及调试。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陕西省环境信息中心指定地点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合同签订后支付预付款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本项目供货完成并经采购人验收合格后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（一）现场安装：中标人应派技术人员进行安装，对安装、测试的产品兼容性进行检查，同时对安装质量负责。 （二）安装测试合格验收：自签订合同之日起，180日内完成验收。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1、项目质保期：自项目验收合格且双方签字之日起，中标供应商提供一年原厂质保。 2、售后服务响应时间（质保期内）：即时响应（包括电话响应）；电话响应无法解决48小时内到达现场。修复时间 24 小时内解决；如在 24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投标人在保证金缴付过程中需备注xxxx项目简称+保证金。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（1）本采购包不专门面向中小企业采购； （2）《关于在政府采购活动中查询及使用信用记录有关问题的通知》（财库〔2016〕125号）； （3）《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（5）《陕西省财政厅关于加快推进我省中小企业政府采购信用融资工作的通知》（陕财办采〔2020〕15号）、陕西省财政厅关于印发《陕西省中小企业政府采购信用融资办法》（陕财办采〔2018〕23号）； （6）如有颁布最新的政策，以最新已生效的政策为准。</w:t>
            </w:r>
          </w:p>
        </w:tc>
        <w:tc>
          <w:tcPr>
            <w:tcW w:type="dxa" w:w="1661"/>
          </w:tcPr>
          <w:p>
            <w:pPr>
              <w:pStyle w:val="null3"/>
            </w:pPr>
            <w:r>
              <w:rPr>
                <w:rFonts w:ascii="仿宋_GB2312" w:hAnsi="仿宋_GB2312" w:cs="仿宋_GB2312" w:eastAsia="仿宋_GB2312"/>
              </w:rPr>
              <w:t>投标函 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按照招标文件的规定提交投标保证金的（如有设置）</w:t>
            </w:r>
          </w:p>
        </w:tc>
        <w:tc>
          <w:tcPr>
            <w:tcW w:type="dxa" w:w="1661"/>
          </w:tcPr>
          <w:p>
            <w:pPr>
              <w:pStyle w:val="null3"/>
            </w:pPr>
            <w:r>
              <w:rPr>
                <w:rFonts w:ascii="仿宋_GB2312" w:hAnsi="仿宋_GB2312" w:cs="仿宋_GB2312" w:eastAsia="仿宋_GB2312"/>
              </w:rPr>
              <w:t>7-投标保证金缴纳凭证.docx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投标文件中承诺的投标有效期不少于招标文件载明的投标有效期的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投标文件符合法律、法规和招标文件中标注“★”的实质性条款要求的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将所投产品的技术指标和配置与招标文件采购需求规定的技术参数要求进行偏离对比，并制作“商务和技术偏离表”(格式详见第六章)。其中标记“▲”项是重要指标，投标人所投产品的技术指标和配置完全符合招标文件第三章技术要求且没有负偏离的得10分。 （1）标记“▲”项有一项负偏离或不满足扣2分，扣完为止。 技术指标“▲”项至少须提供下列证明材料之一：①产品说明书；②产品检测报告；③产品彩页；④产品展示截图；⑤官方网页截图。未提供证明材料的视为负偏离。备注：规格参数中采购需求明确需提供有资质的第三方出具的检验报告的产品，应以检测报告为准；如所提供的技术支持资料为英文版，请同时提供中文简体字译本，否则不予认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3-商务技术偏离表.docx</w:t>
            </w:r>
          </w:p>
        </w:tc>
      </w:tr>
      <w:tr>
        <w:tc>
          <w:tcPr>
            <w:tcW w:type="dxa" w:w="831"/>
            <w:vMerge/>
          </w:tcPr>
          <w:p/>
        </w:tc>
        <w:tc>
          <w:tcPr>
            <w:tcW w:type="dxa" w:w="1661"/>
          </w:tcPr>
          <w:p>
            <w:pPr>
              <w:pStyle w:val="null3"/>
            </w:pPr>
            <w:r>
              <w:rPr>
                <w:rFonts w:ascii="仿宋_GB2312" w:hAnsi="仿宋_GB2312" w:cs="仿宋_GB2312" w:eastAsia="仿宋_GB2312"/>
              </w:rPr>
              <w:t>交付实施方案</w:t>
            </w:r>
          </w:p>
        </w:tc>
        <w:tc>
          <w:tcPr>
            <w:tcW w:type="dxa" w:w="2492"/>
          </w:tcPr>
          <w:p>
            <w:pPr>
              <w:pStyle w:val="null3"/>
            </w:pPr>
            <w:r>
              <w:rPr>
                <w:rFonts w:ascii="仿宋_GB2312" w:hAnsi="仿宋_GB2312" w:cs="仿宋_GB2312" w:eastAsia="仿宋_GB2312"/>
              </w:rPr>
              <w:t>根据投标人针对本项目提供的交付实施方案，至少包含：①重点难点分析及解决方案；②安装部署技术支持服务方案；③系统测试方案；④风险点评估及应对措施；⑤进度保障措施；⑥应急保障组织方案；⑦保密措施方案；⑧售后服务方案；包含但不限于上述全部内容，且方案详细，清晰有利于项目的得满分。(如有缺陷或不足在此分数基础上进行扣分)，以上8项中： (1)每有1项缺失或内容无法满足项目需求的扣5分； (2)有1项中内容存在缺陷或不足(是指内容方案缺少关键点；对同一问题前后表述矛盾；存在逻辑漏洞、科学原理或常识错误；不利于本项日采购目标实现等任意一种情形)扣3分；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投标人拟投入团队人员不少于5人，供项目团队人员配置清单或人员配置承诺函，其中： 具有信息化类高级职称人员相关证书人员，每有1人得2分；中级职称人员证书，每提供一个得0.5分； 注：本项最多得5分，人员不可重复得分。 注：（1）投标人应提供上述人员职称证，开标前六个月任意一个月社保缴纳证明文件，不提供不得分。 投标人仅提供人员配置清单或承诺函，最高得1分，未提供不得分。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系统深化能力</w:t>
            </w:r>
          </w:p>
        </w:tc>
        <w:tc>
          <w:tcPr>
            <w:tcW w:type="dxa" w:w="2492"/>
          </w:tcPr>
          <w:p>
            <w:pPr>
              <w:pStyle w:val="null3"/>
            </w:pPr>
            <w:r>
              <w:rPr>
                <w:rFonts w:ascii="仿宋_GB2312" w:hAnsi="仿宋_GB2312" w:cs="仿宋_GB2312" w:eastAsia="仿宋_GB2312"/>
              </w:rPr>
              <w:t>投标人对移动源环境管理体系有深刻理解，具备移动源环境管理相关标准的研究和技术规范编制能力，利于系统深化。每提供一个证明文件得1分，最多得3分。 注：提供有效标准编制工作证明文件关键页复印件加盖公章。未提供或未按要求提供的不得分。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针对本项目技术服务工作中的常见质量和服务问题进行梳理，投标人可根据自身情况对服务标准、过程管理、质量保证、后续服务等方面做出有利于本项目开展的承诺。每提供1条有效承诺，得0.5分，最高得2分。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项目经验</w:t>
            </w:r>
          </w:p>
        </w:tc>
        <w:tc>
          <w:tcPr>
            <w:tcW w:type="dxa" w:w="2492"/>
          </w:tcPr>
          <w:p>
            <w:pPr>
              <w:pStyle w:val="null3"/>
            </w:pPr>
            <w:r>
              <w:rPr>
                <w:rFonts w:ascii="仿宋_GB2312" w:hAnsi="仿宋_GB2312" w:cs="仿宋_GB2312" w:eastAsia="仿宋_GB2312"/>
              </w:rPr>
              <w:t>投标人提供2022年1月1日以来独立承担过类似项目业绩，每提供1个得2分，最高10分。备注：需提供业绩合同证明材料（至少应包含内容关键页与签章页），未提供或无法辨识的不得分。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 投标报价得分=(评标基准价／投标报价)×30； 2.若落实政府采购政策的，以享受政策调整后的价格参与评审。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详见附件：5-拟签订的合同文本.docx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