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ED2B1E">
      <w:pPr>
        <w:pStyle w:val="3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highlight w:val="none"/>
          <w:lang w:val="en-US" w:eastAsia="zh-CN"/>
        </w:rPr>
        <w:t>（仅供参考）</w:t>
      </w:r>
      <w:bookmarkStart w:id="5" w:name="_GoBack"/>
      <w:bookmarkEnd w:id="5"/>
    </w:p>
    <w:p w14:paraId="06276743">
      <w:pPr>
        <w:pStyle w:val="3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color w:val="auto"/>
          <w:highlight w:val="none"/>
        </w:rPr>
        <w:t>合同</w:t>
      </w:r>
    </w:p>
    <w:p w14:paraId="3015CC07">
      <w:pPr>
        <w:kinsoku w:val="0"/>
        <w:spacing w:line="440" w:lineRule="exact"/>
        <w:ind w:firstLine="600" w:firstLineChars="250"/>
        <w:rPr>
          <w:rFonts w:hint="eastAsia" w:ascii="宋体" w:hAnsi="宋体" w:eastAsia="宋体" w:cs="宋体"/>
          <w:color w:val="auto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highlight w:val="none"/>
        </w:rPr>
        <w:t>甲方（买方）：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          </w:t>
      </w:r>
    </w:p>
    <w:p w14:paraId="309475B9">
      <w:pPr>
        <w:kinsoku w:val="0"/>
        <w:spacing w:line="440" w:lineRule="exact"/>
        <w:ind w:firstLine="600" w:firstLineChars="250"/>
        <w:rPr>
          <w:rFonts w:hint="eastAsia" w:ascii="宋体" w:hAnsi="宋体" w:eastAsia="宋体" w:cs="宋体"/>
          <w:color w:val="auto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highlight w:val="none"/>
        </w:rPr>
        <w:t>乙方（卖方）：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        </w:t>
      </w:r>
    </w:p>
    <w:p w14:paraId="004AE1E2">
      <w:pPr>
        <w:kinsoku w:val="0"/>
        <w:spacing w:line="440" w:lineRule="exact"/>
        <w:ind w:firstLine="600" w:firstLineChars="25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根据《中华人民共和国政府采购法》、《中华人民共和国民法典》等法律法规，甲方通过</w:t>
      </w:r>
      <w:r>
        <w:rPr>
          <w:rFonts w:hint="eastAsia" w:ascii="宋体" w:hAnsi="宋体" w:eastAsia="宋体" w:cs="宋体"/>
          <w:color w:val="auto"/>
          <w:highlight w:val="none"/>
          <w:u w:val="none"/>
        </w:rPr>
        <w:t>公开招标</w:t>
      </w:r>
      <w:r>
        <w:rPr>
          <w:rFonts w:hint="eastAsia" w:ascii="宋体" w:hAnsi="宋体" w:eastAsia="宋体" w:cs="宋体"/>
          <w:color w:val="auto"/>
          <w:highlight w:val="none"/>
          <w:u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highlight w:val="none"/>
        </w:rPr>
        <w:t>选定乙方为中标供应商。甲、乙双方在平等基础上协商一致，达成如下合同条款：</w:t>
      </w:r>
    </w:p>
    <w:p w14:paraId="189F8238">
      <w:pPr>
        <w:kinsoku w:val="0"/>
        <w:spacing w:line="440" w:lineRule="exact"/>
        <w:ind w:firstLine="600" w:firstLineChars="25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一、</w:t>
      </w:r>
      <w:r>
        <w:rPr>
          <w:rFonts w:hint="eastAsia" w:ascii="宋体" w:hAnsi="宋体" w:eastAsia="宋体" w:cs="宋体"/>
          <w:b/>
          <w:bCs/>
          <w:color w:val="auto"/>
          <w:highlight w:val="none"/>
        </w:rPr>
        <w:t>合同内容</w:t>
      </w:r>
    </w:p>
    <w:tbl>
      <w:tblPr>
        <w:tblStyle w:val="5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9"/>
        <w:gridCol w:w="1552"/>
        <w:gridCol w:w="2130"/>
        <w:gridCol w:w="708"/>
        <w:gridCol w:w="710"/>
        <w:gridCol w:w="851"/>
        <w:gridCol w:w="951"/>
        <w:gridCol w:w="890"/>
      </w:tblGrid>
      <w:tr w14:paraId="722BBA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476" w:type="pct"/>
            <w:vAlign w:val="center"/>
          </w:tcPr>
          <w:p w14:paraId="790850F8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  <w:t>序号</w:t>
            </w:r>
          </w:p>
        </w:tc>
        <w:tc>
          <w:tcPr>
            <w:tcW w:w="901" w:type="pct"/>
            <w:vAlign w:val="center"/>
          </w:tcPr>
          <w:p w14:paraId="2E849DCF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  <w:t>产品名称</w:t>
            </w:r>
          </w:p>
        </w:tc>
        <w:tc>
          <w:tcPr>
            <w:tcW w:w="1237" w:type="pct"/>
            <w:vAlign w:val="center"/>
          </w:tcPr>
          <w:p w14:paraId="36DE4077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  <w:t>型号</w:t>
            </w:r>
          </w:p>
        </w:tc>
        <w:tc>
          <w:tcPr>
            <w:tcW w:w="411" w:type="pct"/>
            <w:vAlign w:val="center"/>
          </w:tcPr>
          <w:p w14:paraId="2265F56E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  <w:t>产地</w:t>
            </w:r>
          </w:p>
        </w:tc>
        <w:tc>
          <w:tcPr>
            <w:tcW w:w="412" w:type="pct"/>
            <w:vAlign w:val="center"/>
          </w:tcPr>
          <w:p w14:paraId="0E163A19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  <w:t>数量</w:t>
            </w:r>
          </w:p>
        </w:tc>
        <w:tc>
          <w:tcPr>
            <w:tcW w:w="494" w:type="pct"/>
            <w:vAlign w:val="center"/>
          </w:tcPr>
          <w:p w14:paraId="1659AA8D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  <w:t>单价</w:t>
            </w:r>
          </w:p>
        </w:tc>
        <w:tc>
          <w:tcPr>
            <w:tcW w:w="552" w:type="pct"/>
            <w:vAlign w:val="center"/>
          </w:tcPr>
          <w:p w14:paraId="6B5834DA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  <w:t>总价</w:t>
            </w:r>
          </w:p>
        </w:tc>
        <w:tc>
          <w:tcPr>
            <w:tcW w:w="518" w:type="pct"/>
            <w:vAlign w:val="center"/>
          </w:tcPr>
          <w:p w14:paraId="0B2A576A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  <w:t>备注</w:t>
            </w:r>
          </w:p>
        </w:tc>
      </w:tr>
      <w:tr w14:paraId="324E1B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exact"/>
          <w:jc w:val="center"/>
        </w:trPr>
        <w:tc>
          <w:tcPr>
            <w:tcW w:w="476" w:type="pct"/>
            <w:vAlign w:val="center"/>
          </w:tcPr>
          <w:p w14:paraId="3C241F7F"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1</w:t>
            </w:r>
          </w:p>
        </w:tc>
        <w:tc>
          <w:tcPr>
            <w:tcW w:w="901" w:type="pct"/>
            <w:vAlign w:val="center"/>
          </w:tcPr>
          <w:p w14:paraId="4C70797A"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37" w:type="pct"/>
            <w:vAlign w:val="center"/>
          </w:tcPr>
          <w:p w14:paraId="43D7010F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11" w:type="pct"/>
            <w:vAlign w:val="center"/>
          </w:tcPr>
          <w:p w14:paraId="6271BC4D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12" w:type="pct"/>
            <w:vAlign w:val="center"/>
          </w:tcPr>
          <w:p w14:paraId="5235B645"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94" w:type="pct"/>
            <w:vAlign w:val="center"/>
          </w:tcPr>
          <w:p w14:paraId="4C3F08B4"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52" w:type="pct"/>
            <w:vAlign w:val="center"/>
          </w:tcPr>
          <w:p w14:paraId="016B9978"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vAlign w:val="center"/>
          </w:tcPr>
          <w:p w14:paraId="1F0D435C"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AD1E0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1377" w:type="pct"/>
            <w:gridSpan w:val="2"/>
            <w:vAlign w:val="center"/>
          </w:tcPr>
          <w:p w14:paraId="0DE3BD54"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  <w:t>总计（人民币/元）</w:t>
            </w:r>
          </w:p>
        </w:tc>
        <w:tc>
          <w:tcPr>
            <w:tcW w:w="3623" w:type="pct"/>
            <w:gridSpan w:val="6"/>
            <w:vAlign w:val="center"/>
          </w:tcPr>
          <w:p w14:paraId="43DD0AEC">
            <w:pPr>
              <w:adjustRightInd w:val="0"/>
              <w:snapToGrid w:val="0"/>
              <w:spacing w:line="440" w:lineRule="exact"/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  <w:t>¥：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  <w:t>（大写：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  <w:t>）</w:t>
            </w:r>
          </w:p>
        </w:tc>
      </w:tr>
    </w:tbl>
    <w:p w14:paraId="3554AAFC">
      <w:pPr>
        <w:kinsoku w:val="0"/>
        <w:spacing w:line="440" w:lineRule="exact"/>
        <w:ind w:firstLine="600" w:firstLineChars="25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（参数附件说明）</w:t>
      </w:r>
    </w:p>
    <w:p w14:paraId="357D21F3">
      <w:pPr>
        <w:kinsoku w:val="0"/>
        <w:spacing w:line="440" w:lineRule="exact"/>
        <w:ind w:right="-250" w:rightChars="-104" w:firstLine="600" w:firstLineChars="25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乙方负责按以上确定的产品规格、型号及配套内容进行供货，及时运到甲方指定交货地点安装调试，确保所有产品达到最佳运行状态，做好售后服务工作。</w:t>
      </w:r>
    </w:p>
    <w:p w14:paraId="43A79E98">
      <w:pPr>
        <w:spacing w:line="440" w:lineRule="exact"/>
        <w:ind w:firstLine="482" w:firstLineChars="200"/>
        <w:rPr>
          <w:rFonts w:hint="eastAsia" w:ascii="宋体" w:hAnsi="宋体" w:eastAsia="宋体" w:cs="宋体"/>
          <w:b/>
          <w:bCs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二、合同价格</w:t>
      </w:r>
    </w:p>
    <w:p w14:paraId="3BF1307B">
      <w:pPr>
        <w:kinsoku w:val="0"/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合同总价：人民币大写：</w:t>
      </w:r>
      <w:r>
        <w:rPr>
          <w:rFonts w:hint="eastAsia" w:ascii="宋体" w:hAnsi="宋体" w:eastAsia="宋体" w:cs="宋体"/>
          <w:bCs/>
          <w:color w:val="auto"/>
          <w:highlight w:val="none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b/>
          <w:bCs/>
          <w:color w:val="auto"/>
          <w:highlight w:val="none"/>
        </w:rPr>
        <w:t>；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小写：</w:t>
      </w:r>
      <w:r>
        <w:rPr>
          <w:rFonts w:hint="eastAsia" w:ascii="宋体" w:hAnsi="宋体" w:eastAsia="宋体" w:cs="宋体"/>
          <w:color w:val="auto"/>
          <w:highlight w:val="none"/>
        </w:rPr>
        <w:t>¥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highlight w:val="none"/>
        </w:rPr>
        <w:t>元。</w:t>
      </w:r>
    </w:p>
    <w:p w14:paraId="4D022F23">
      <w:pPr>
        <w:kinsoku w:val="0"/>
        <w:spacing w:line="440" w:lineRule="exact"/>
        <w:ind w:right="-365" w:rightChars="-152" w:firstLine="48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合同总价包括：所供货物、服务且验收合格的所有费用，包括出厂价、运杂费（含保险）、仓储保管费、安装调试费、检测费、人工费、利润、税费等其他一切相关费用；包括从产品供应地点到交货地点，且使产品具备使用条件的一切费用。合同总价不可变更，不受市场价变化的影响，不受实际数量变化的影响。</w:t>
      </w:r>
    </w:p>
    <w:p w14:paraId="73A14EF0">
      <w:pPr>
        <w:spacing w:line="440" w:lineRule="exact"/>
        <w:ind w:firstLine="482" w:firstLineChars="200"/>
        <w:rPr>
          <w:rFonts w:hint="eastAsia" w:ascii="宋体" w:hAnsi="宋体" w:eastAsia="宋体" w:cs="宋体"/>
          <w:b/>
          <w:bCs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三、款项支付</w:t>
      </w:r>
    </w:p>
    <w:p w14:paraId="309B8A3F"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/>
        <w:autoSpaceDN/>
        <w:bidi w:val="0"/>
        <w:adjustRightInd/>
        <w:snapToGrid/>
        <w:spacing w:line="440" w:lineRule="exact"/>
        <w:ind w:right="-365" w:rightChars="-152" w:firstLine="480" w:firstLineChars="200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合同签订后分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二</w:t>
      </w:r>
      <w:r>
        <w:rPr>
          <w:rFonts w:hint="eastAsia" w:ascii="宋体" w:hAnsi="宋体" w:eastAsia="宋体" w:cs="宋体"/>
          <w:color w:val="auto"/>
          <w:highlight w:val="none"/>
        </w:rPr>
        <w:t>次付款。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第一次为</w:t>
      </w:r>
      <w:r>
        <w:rPr>
          <w:rFonts w:hint="eastAsia" w:ascii="宋体" w:hAnsi="宋体" w:eastAsia="宋体" w:cs="宋体"/>
          <w:color w:val="auto"/>
          <w:highlight w:val="none"/>
        </w:rPr>
        <w:t xml:space="preserve">合同签订后 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14日</w:t>
      </w:r>
      <w:r>
        <w:rPr>
          <w:rFonts w:hint="eastAsia" w:ascii="宋体" w:hAnsi="宋体" w:eastAsia="宋体" w:cs="宋体"/>
          <w:color w:val="auto"/>
          <w:highlight w:val="none"/>
        </w:rPr>
        <w:t>内，支付合同总金额的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70</w:t>
      </w:r>
      <w:r>
        <w:rPr>
          <w:rFonts w:hint="eastAsia" w:ascii="宋体" w:hAnsi="宋体" w:eastAsia="宋体" w:cs="宋体"/>
          <w:color w:val="auto"/>
          <w:highlight w:val="none"/>
        </w:rPr>
        <w:t>%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即</w:t>
      </w:r>
      <w:r>
        <w:rPr>
          <w:rFonts w:hint="eastAsia" w:ascii="宋体" w:hAnsi="宋体" w:eastAsia="宋体" w:cs="宋体"/>
          <w:color w:val="auto"/>
          <w:highlight w:val="none"/>
        </w:rPr>
        <w:t>人民币大写：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b/>
          <w:bCs/>
          <w:color w:val="auto"/>
          <w:highlight w:val="none"/>
        </w:rPr>
        <w:t>；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小写：</w:t>
      </w:r>
      <w:r>
        <w:rPr>
          <w:rFonts w:hint="eastAsia" w:ascii="宋体" w:hAnsi="宋体" w:eastAsia="宋体" w:cs="宋体"/>
          <w:color w:val="auto"/>
          <w:highlight w:val="none"/>
        </w:rPr>
        <w:t>¥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color w:val="auto"/>
          <w:highlight w:val="none"/>
        </w:rPr>
        <w:t>；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第二次为</w:t>
      </w:r>
      <w:r>
        <w:rPr>
          <w:rFonts w:hint="eastAsia" w:ascii="宋体" w:hAnsi="宋体" w:eastAsia="宋体" w:cs="宋体"/>
          <w:color w:val="000000"/>
          <w:highlight w:val="none"/>
          <w:shd w:val="clear" w:color="auto" w:fill="FFFFFF"/>
        </w:rPr>
        <w:t>货到</w:t>
      </w:r>
      <w:r>
        <w:rPr>
          <w:rFonts w:hint="eastAsia" w:ascii="宋体" w:hAnsi="宋体" w:eastAsia="宋体" w:cs="宋体"/>
          <w:color w:val="000000"/>
          <w:highlight w:val="none"/>
          <w:shd w:val="clear" w:color="auto" w:fill="FFFFFF"/>
          <w:lang w:val="en-US" w:eastAsia="zh-CN"/>
        </w:rPr>
        <w:t>安装调试</w:t>
      </w:r>
      <w:r>
        <w:rPr>
          <w:rFonts w:hint="eastAsia" w:ascii="宋体" w:hAnsi="宋体" w:eastAsia="宋体" w:cs="宋体"/>
          <w:color w:val="000000"/>
          <w:highlight w:val="none"/>
          <w:shd w:val="clear" w:color="auto" w:fill="FFFFFF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highlight w:val="none"/>
          <w:shd w:val="clear" w:color="auto" w:fill="FFFFFF"/>
        </w:rPr>
        <w:t>验收</w:t>
      </w:r>
      <w:r>
        <w:rPr>
          <w:rFonts w:hint="eastAsia" w:ascii="宋体" w:hAnsi="宋体" w:eastAsia="宋体" w:cs="宋体"/>
          <w:color w:val="000000"/>
          <w:highlight w:val="none"/>
          <w:shd w:val="clear" w:color="auto" w:fill="FFFFFF"/>
          <w:lang w:val="en-US" w:eastAsia="zh-CN"/>
        </w:rPr>
        <w:t>合格后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14日内</w:t>
      </w:r>
      <w:r>
        <w:rPr>
          <w:rFonts w:hint="eastAsia" w:ascii="宋体" w:hAnsi="宋体" w:eastAsia="宋体" w:cs="宋体"/>
          <w:color w:val="auto"/>
          <w:highlight w:val="none"/>
        </w:rPr>
        <w:t>，支付合同总金额的30%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即</w:t>
      </w:r>
      <w:r>
        <w:rPr>
          <w:rFonts w:hint="eastAsia" w:ascii="宋体" w:hAnsi="宋体" w:eastAsia="宋体" w:cs="宋体"/>
          <w:color w:val="auto"/>
          <w:highlight w:val="none"/>
        </w:rPr>
        <w:t>人民币大写：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b/>
          <w:bCs/>
          <w:color w:val="auto"/>
          <w:highlight w:val="none"/>
        </w:rPr>
        <w:t>；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小写：</w:t>
      </w:r>
      <w:r>
        <w:rPr>
          <w:rFonts w:hint="eastAsia" w:ascii="宋体" w:hAnsi="宋体" w:eastAsia="宋体" w:cs="宋体"/>
          <w:color w:val="auto"/>
          <w:highlight w:val="none"/>
        </w:rPr>
        <w:t>¥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color w:val="auto"/>
          <w:highlight w:val="none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color w:val="auto"/>
          <w:highlight w:val="none"/>
        </w:rPr>
        <w:t>；</w:t>
      </w:r>
    </w:p>
    <w:p w14:paraId="28B8125A">
      <w:pPr>
        <w:adjustRightInd w:val="0"/>
        <w:snapToGrid w:val="0"/>
        <w:spacing w:line="440" w:lineRule="exact"/>
        <w:ind w:firstLine="482" w:firstLineChars="200"/>
        <w:rPr>
          <w:rFonts w:hint="eastAsia" w:ascii="宋体" w:hAnsi="宋体" w:eastAsia="宋体" w:cs="宋体"/>
          <w:b/>
          <w:bCs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四、交货条件</w:t>
      </w:r>
    </w:p>
    <w:p w14:paraId="3E412F49">
      <w:pPr>
        <w:kinsoku w:val="0"/>
        <w:spacing w:line="440" w:lineRule="exact"/>
        <w:ind w:right="-365" w:rightChars="-152" w:firstLine="48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1、交货地点：甲方指定地点</w:t>
      </w:r>
    </w:p>
    <w:p w14:paraId="286BF5B0">
      <w:pPr>
        <w:widowControl/>
        <w:ind w:firstLine="480" w:firstLineChars="200"/>
        <w:jc w:val="left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>2、交货期限：自合同签订之日起 30日历天</w:t>
      </w:r>
      <w:r>
        <w:rPr>
          <w:rFonts w:hint="eastAsia" w:ascii="宋体" w:hAnsi="宋体" w:eastAsia="宋体" w:cs="宋体"/>
          <w:color w:val="auto"/>
          <w:kern w:val="0"/>
          <w:highlight w:val="none"/>
          <w:lang w:eastAsia="zh-CN" w:bidi="ar"/>
        </w:rPr>
        <w:t>，</w:t>
      </w:r>
      <w:r>
        <w:rPr>
          <w:rFonts w:hint="eastAsia" w:ascii="宋体" w:hAnsi="宋体" w:eastAsia="宋体" w:cs="宋体"/>
          <w:color w:val="auto"/>
          <w:kern w:val="0"/>
          <w:highlight w:val="none"/>
          <w:lang w:val="en-US" w:eastAsia="zh-CN" w:bidi="ar"/>
        </w:rPr>
        <w:t>如遇特殊情况顺延。</w:t>
      </w:r>
    </w:p>
    <w:p w14:paraId="56772E01">
      <w:pPr>
        <w:widowControl/>
        <w:ind w:firstLine="480" w:firstLineChars="200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 xml:space="preserve">3、质保期：验收合格之日起 1 年。 </w:t>
      </w:r>
    </w:p>
    <w:p w14:paraId="1471F2E5">
      <w:pPr>
        <w:widowControl/>
        <w:ind w:firstLine="480" w:firstLineChars="200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>4、售后要求：质保期内，发生质量问题，乙方自接到甲方通知后，1 小时内响应，应于 4 小时内派出专业的维修人员到现场进行检测维修，12 小时内完成修复，发生的全部费用由乙方承担。</w:t>
      </w:r>
    </w:p>
    <w:p w14:paraId="0436BC9E">
      <w:pPr>
        <w:spacing w:line="440" w:lineRule="exact"/>
        <w:ind w:firstLine="482" w:firstLineChars="200"/>
        <w:rPr>
          <w:rFonts w:hint="eastAsia" w:ascii="宋体" w:hAnsi="宋体" w:eastAsia="宋体" w:cs="宋体"/>
          <w:b/>
          <w:bCs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五、运输方式：</w:t>
      </w:r>
      <w:r>
        <w:rPr>
          <w:rFonts w:hint="eastAsia" w:ascii="宋体" w:hAnsi="宋体" w:eastAsia="宋体" w:cs="宋体"/>
          <w:color w:val="auto"/>
          <w:highlight w:val="none"/>
        </w:rPr>
        <w:t>根据产品特性，由乙方在保证产品质量的前提下，自行选择运输及包装方式，发生的一切费用全部由乙方承担。</w:t>
      </w:r>
    </w:p>
    <w:p w14:paraId="35C1A1C5">
      <w:pPr>
        <w:adjustRightInd w:val="0"/>
        <w:snapToGrid w:val="0"/>
        <w:spacing w:line="440" w:lineRule="exact"/>
        <w:ind w:firstLine="482" w:firstLineChars="200"/>
        <w:rPr>
          <w:rFonts w:hint="eastAsia" w:ascii="宋体" w:hAnsi="宋体" w:eastAsia="宋体" w:cs="宋体"/>
          <w:b/>
          <w:bCs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六、质量保证</w:t>
      </w:r>
    </w:p>
    <w:p w14:paraId="5BFC52A6">
      <w:pPr>
        <w:adjustRightInd w:val="0"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1、乙方保证所有产品全部符合国家及行业强制性标准；</w:t>
      </w:r>
    </w:p>
    <w:p w14:paraId="4DEB153F">
      <w:pPr>
        <w:adjustRightInd w:val="0"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2、乙方保证所提供的产品质量可靠，进货渠道正常，配置合理，技术性能完全满足招标文件要求；</w:t>
      </w:r>
    </w:p>
    <w:p w14:paraId="3ED834F4">
      <w:pPr>
        <w:adjustRightInd w:val="0"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3、若产品所用原材料或加工工艺造成的质量和内外观缺陷问题，由乙方负责解决并承担费用。（乙方保证货物是全新的、未曾使用过的，并保证所供产品的完整性，本合同产品为成套供货，合同总价中已包括满足产品完整运行的附件，备件，配套件等，产品质量应符合国标标准和本合同附件的要求,乙方应随机提供产品检验报告。）</w:t>
      </w:r>
    </w:p>
    <w:p w14:paraId="696B2630">
      <w:pPr>
        <w:adjustRightInd w:val="0"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4、产品性能未达到技术要求的，乙方限期内进行整改；整改仍达不到要求的，甲方有权解除合同，保留依法索赔的权利。</w:t>
      </w:r>
    </w:p>
    <w:p w14:paraId="03964FEC">
      <w:pPr>
        <w:adjustRightInd w:val="0"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5、质保期内若发生产品质量问题，乙方应立即免费解决；否则，甲方有权从剩余合同款中支付相关费用。</w:t>
      </w:r>
    </w:p>
    <w:p w14:paraId="33E62ED5">
      <w:pPr>
        <w:adjustRightInd w:val="0"/>
        <w:snapToGrid w:val="0"/>
        <w:spacing w:line="440" w:lineRule="exact"/>
        <w:ind w:firstLine="359" w:firstLineChars="149"/>
        <w:rPr>
          <w:rFonts w:hint="eastAsia" w:ascii="宋体" w:hAnsi="宋体" w:eastAsia="宋体" w:cs="宋体"/>
          <w:b/>
          <w:bCs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七、安装、调试及技术服务</w:t>
      </w:r>
    </w:p>
    <w:p w14:paraId="1CFC0DD0">
      <w:pPr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1、技术资料包括：出厂检测报告、产品使用说明书、合格证等其它相关资料。</w:t>
      </w:r>
    </w:p>
    <w:p w14:paraId="6B5AE3D4">
      <w:pPr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2、质保期内免费维护，并免费提供备品、备件，更换故障部件、产品等，乙方在接到用户对所购产品进行维修的要求后，及时到用户现场进行维修服务，全部费用由乙方支付，若需将产品送回生产厂，由乙方支付维修产品所需的往返费用。</w:t>
      </w:r>
    </w:p>
    <w:p w14:paraId="73FB1D7D">
      <w:pPr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3、乙方保证产品完全按招标要求提供，若达不到要求，乙方须及时跟甲方沟通协商更换产品，并按照再次验收合格时间相应延长该产品保修期。</w:t>
      </w:r>
    </w:p>
    <w:p w14:paraId="7F4FC862">
      <w:pPr>
        <w:adjustRightInd w:val="0"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4、服务承诺：按投标文件中的服务承诺执行。</w:t>
      </w:r>
    </w:p>
    <w:p w14:paraId="2C0438C6">
      <w:pPr>
        <w:adjustRightInd w:val="0"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5、乙方人员在安装调试过程中出现的安全责任问题由乙方全权负责。</w:t>
      </w:r>
    </w:p>
    <w:p w14:paraId="127E46A4">
      <w:pPr>
        <w:adjustRightInd w:val="0"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6、设备安装调试结束后，安排技术人员进行培训，达到操作熟练程度。</w:t>
      </w:r>
    </w:p>
    <w:p w14:paraId="43D6A9F4">
      <w:pPr>
        <w:adjustRightInd w:val="0"/>
        <w:snapToGrid w:val="0"/>
        <w:spacing w:line="440" w:lineRule="exact"/>
        <w:ind w:firstLine="482" w:firstLineChars="200"/>
        <w:rPr>
          <w:rFonts w:hint="eastAsia" w:ascii="宋体" w:hAnsi="宋体" w:eastAsia="宋体" w:cs="宋体"/>
          <w:b/>
          <w:bCs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八、产品包装及环保要求</w:t>
      </w:r>
    </w:p>
    <w:p w14:paraId="53888CF0">
      <w:pPr>
        <w:adjustRightInd w:val="0"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本项目标的产品如需要包装或快递的，乙方须严格按照“关于印发《商品包装政府采购需求标准（试行）》、 《快递包装政府采购需求标准（试行）》的通知（财办库〔2020〕123号）”规定执行。</w:t>
      </w:r>
    </w:p>
    <w:p w14:paraId="720A2193">
      <w:pPr>
        <w:tabs>
          <w:tab w:val="left" w:pos="5355"/>
        </w:tabs>
        <w:spacing w:line="440" w:lineRule="exact"/>
        <w:ind w:firstLine="506" w:firstLineChars="210"/>
        <w:rPr>
          <w:rFonts w:hint="eastAsia" w:ascii="宋体" w:hAnsi="宋体" w:eastAsia="宋体" w:cs="宋体"/>
          <w:b/>
          <w:bCs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九、违约责任：</w:t>
      </w:r>
    </w:p>
    <w:p w14:paraId="0CD19B9A">
      <w:pPr>
        <w:adjustRightInd w:val="0"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1、按《中华人民共和国民法典》中的相关条款执行。</w:t>
      </w:r>
    </w:p>
    <w:p w14:paraId="0BD3940C">
      <w:pPr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2、未按合同要求提供产品或产品质量不能满足合同约定的技术要求，甲方有权终止合同，乙方须无条件全额退回甲方已付给乙方的货款，并向甲方支付合同总价款百分之十的违约金。并保留追究乙方违约责任的权利。</w:t>
      </w:r>
    </w:p>
    <w:p w14:paraId="1AA6F6AB">
      <w:pPr>
        <w:adjustRightInd w:val="0"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3、乙方交货或甲方付款时间迟延的，违约方按照每天1%向对方承担违约责任，延迟30天以上，甲方有权解除合同。产品质量问题违约的，除了按照迟延时间计算违约金外，另可以采取退货、换货等方式，由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color w:val="auto"/>
          <w:highlight w:val="none"/>
        </w:rPr>
        <w:t>承担一切费用。</w:t>
      </w:r>
    </w:p>
    <w:p w14:paraId="595C4BBE">
      <w:pPr>
        <w:spacing w:line="440" w:lineRule="exact"/>
        <w:ind w:firstLine="532"/>
        <w:rPr>
          <w:rFonts w:hint="eastAsia" w:ascii="宋体" w:hAnsi="宋体" w:eastAsia="宋体" w:cs="宋体"/>
          <w:b/>
          <w:bCs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十、产品验收</w:t>
      </w:r>
    </w:p>
    <w:p w14:paraId="4C32FFE9">
      <w:pPr>
        <w:adjustRightInd w:val="0"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snapToGrid w:val="0"/>
          <w:kern w:val="0"/>
        </w:rPr>
      </w:pPr>
      <w:r>
        <w:rPr>
          <w:rFonts w:hint="eastAsia" w:ascii="宋体" w:hAnsi="宋体" w:eastAsia="宋体" w:cs="宋体"/>
          <w:snapToGrid w:val="0"/>
          <w:kern w:val="0"/>
        </w:rPr>
        <w:t>1、验收</w:t>
      </w:r>
      <w:r>
        <w:rPr>
          <w:rFonts w:hint="eastAsia" w:ascii="宋体" w:hAnsi="宋体" w:eastAsia="宋体" w:cs="宋体"/>
          <w:snapToGrid w:val="0"/>
          <w:color w:val="auto"/>
          <w:kern w:val="0"/>
        </w:rPr>
        <w:t>由甲</w:t>
      </w:r>
      <w:r>
        <w:rPr>
          <w:rFonts w:hint="eastAsia" w:ascii="宋体" w:hAnsi="宋体" w:eastAsia="宋体" w:cs="宋体"/>
          <w:snapToGrid w:val="0"/>
          <w:color w:val="auto"/>
          <w:kern w:val="0"/>
          <w:lang w:eastAsia="zh-CN"/>
        </w:rPr>
        <w:t>、乙双</w:t>
      </w:r>
      <w:r>
        <w:rPr>
          <w:rFonts w:hint="eastAsia" w:ascii="宋体" w:hAnsi="宋体" w:eastAsia="宋体" w:cs="宋体"/>
          <w:snapToGrid w:val="0"/>
          <w:color w:val="auto"/>
          <w:kern w:val="0"/>
        </w:rPr>
        <w:t>方相</w:t>
      </w:r>
      <w:r>
        <w:rPr>
          <w:rFonts w:hint="eastAsia" w:ascii="宋体" w:hAnsi="宋体" w:eastAsia="宋体" w:cs="宋体"/>
          <w:snapToGrid w:val="0"/>
          <w:kern w:val="0"/>
        </w:rPr>
        <w:t>关人员组成的验收小组负责。</w:t>
      </w:r>
    </w:p>
    <w:p w14:paraId="1483B011">
      <w:pPr>
        <w:spacing w:line="44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napToGrid w:val="0"/>
          <w:kern w:val="0"/>
        </w:rPr>
        <w:t>2、乙方</w:t>
      </w:r>
      <w:r>
        <w:rPr>
          <w:rFonts w:hint="eastAsia" w:ascii="宋体" w:hAnsi="宋体" w:eastAsia="宋体" w:cs="宋体"/>
        </w:rPr>
        <w:t>安装调试完成后应提供详细的安装报告，并详细记录各种</w:t>
      </w:r>
      <w:bookmarkStart w:id="0" w:name="OLE_LINK3"/>
      <w:bookmarkStart w:id="1" w:name="OLE_LINK4"/>
      <w:r>
        <w:rPr>
          <w:rFonts w:hint="eastAsia" w:ascii="宋体" w:hAnsi="宋体" w:eastAsia="宋体" w:cs="宋体"/>
        </w:rPr>
        <w:t>指示</w:t>
      </w:r>
      <w:bookmarkEnd w:id="0"/>
      <w:bookmarkEnd w:id="1"/>
      <w:r>
        <w:rPr>
          <w:rFonts w:hint="eastAsia" w:ascii="宋体" w:hAnsi="宋体" w:eastAsia="宋体" w:cs="宋体"/>
        </w:rPr>
        <w:t>的实测数据</w:t>
      </w:r>
      <w:r>
        <w:rPr>
          <w:rFonts w:hint="eastAsia" w:ascii="宋体" w:hAnsi="宋体" w:eastAsia="宋体" w:cs="宋体"/>
          <w:snapToGrid w:val="0"/>
          <w:kern w:val="0"/>
        </w:rPr>
        <w:t>，</w:t>
      </w:r>
      <w:r>
        <w:rPr>
          <w:rFonts w:hint="eastAsia" w:ascii="宋体" w:hAnsi="宋体" w:eastAsia="宋体" w:cs="宋体"/>
        </w:rPr>
        <w:t>验收内容为审查验收安装及测试报告，现场查看产品使用情况。验收合格后，使用单位填写产品验收单。</w:t>
      </w:r>
    </w:p>
    <w:p w14:paraId="6B857D7C">
      <w:pPr>
        <w:spacing w:line="44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</w:rPr>
        <w:t>.1乙方提供完整的操作手册和安装、调试、维修手册；提供制造厂家的检验测试报告或产品出厂检测报告。</w:t>
      </w:r>
    </w:p>
    <w:p w14:paraId="7D95D8E4">
      <w:pPr>
        <w:widowControl/>
        <w:ind w:firstLine="480" w:firstLineChars="20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</w:rPr>
        <w:t>.2甲方根据合同要求对产品进行验收、确认产品的产地、规格、型号和数量。验收依据为本合同文本、</w:t>
      </w:r>
      <w:r>
        <w:rPr>
          <w:rFonts w:hint="eastAsia" w:ascii="宋体" w:hAnsi="宋体" w:eastAsia="宋体" w:cs="宋体"/>
          <w:color w:val="000000"/>
          <w:kern w:val="0"/>
          <w:lang w:bidi="ar"/>
        </w:rPr>
        <w:t>投标文件</w:t>
      </w:r>
      <w:r>
        <w:rPr>
          <w:rFonts w:hint="eastAsia" w:ascii="宋体" w:hAnsi="宋体" w:eastAsia="宋体" w:cs="宋体"/>
        </w:rPr>
        <w:t>和国内相应的标准、规范。</w:t>
      </w:r>
    </w:p>
    <w:p w14:paraId="7CDEB9ED">
      <w:pPr>
        <w:spacing w:line="44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3</w:t>
      </w:r>
      <w:r>
        <w:rPr>
          <w:rFonts w:hint="eastAsia" w:ascii="宋体" w:hAnsi="宋体" w:eastAsia="宋体" w:cs="宋体"/>
        </w:rPr>
        <w:t>、</w:t>
      </w:r>
      <w:bookmarkStart w:id="2" w:name="OLE_LINK5"/>
      <w:bookmarkStart w:id="3" w:name="OLE_LINK7"/>
      <w:bookmarkStart w:id="4" w:name="OLE_LINK6"/>
      <w:r>
        <w:rPr>
          <w:rFonts w:hint="eastAsia" w:ascii="宋体" w:hAnsi="宋体" w:eastAsia="宋体" w:cs="宋体"/>
        </w:rPr>
        <w:t>验收合格后，填写产品验收单</w:t>
      </w:r>
      <w:bookmarkEnd w:id="2"/>
      <w:bookmarkEnd w:id="3"/>
      <w:bookmarkEnd w:id="4"/>
      <w:r>
        <w:rPr>
          <w:rFonts w:hint="eastAsia" w:ascii="宋体" w:hAnsi="宋体" w:eastAsia="宋体" w:cs="宋体"/>
        </w:rPr>
        <w:t>，并向甲方提交产品所包含的所有资料，以便使用单位日后管理和维护。</w:t>
      </w:r>
    </w:p>
    <w:p w14:paraId="38111A64">
      <w:pPr>
        <w:spacing w:line="44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4</w:t>
      </w:r>
      <w:r>
        <w:rPr>
          <w:rFonts w:hint="eastAsia" w:ascii="宋体" w:hAnsi="宋体" w:eastAsia="宋体" w:cs="宋体"/>
        </w:rPr>
        <w:t>、在交割以前产品所发生的一切损失及费用由乙方承担。性能达到技术要求的，验收通过；验收不合格的，限期整改；整改仍达不到要求的，按本合同第九条第2款处理。</w:t>
      </w:r>
    </w:p>
    <w:p w14:paraId="08F2C79A">
      <w:pPr>
        <w:spacing w:line="44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5</w:t>
      </w:r>
      <w:r>
        <w:rPr>
          <w:rFonts w:hint="eastAsia" w:ascii="宋体" w:hAnsi="宋体" w:eastAsia="宋体" w:cs="宋体"/>
        </w:rPr>
        <w:t>、如因货物的质量问题发生争议，由甲方属地技术质量监督部门进行质量鉴定；货物符合质量标准的，鉴定费由甲方承担；货物不符合质量标准的，鉴定费由乙方承担。</w:t>
      </w:r>
    </w:p>
    <w:p w14:paraId="31567789">
      <w:pPr>
        <w:tabs>
          <w:tab w:val="left" w:pos="5355"/>
        </w:tabs>
        <w:spacing w:line="440" w:lineRule="exact"/>
        <w:ind w:firstLine="482" w:firstLineChars="200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十一、合同争议的解决</w:t>
      </w:r>
    </w:p>
    <w:p w14:paraId="6A9C028C">
      <w:pPr>
        <w:tabs>
          <w:tab w:val="left" w:pos="5355"/>
        </w:tabs>
        <w:spacing w:line="440" w:lineRule="exact"/>
        <w:ind w:firstLine="480" w:firstLineChars="200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</w:rPr>
        <w:t>合同一经签订，不得随意变更、中止或终止。对确需变更、调整或者中止、终止合同的，应按规定履行相应的手续。</w:t>
      </w:r>
    </w:p>
    <w:p w14:paraId="6E6FAD11">
      <w:pPr>
        <w:tabs>
          <w:tab w:val="left" w:pos="5355"/>
        </w:tabs>
        <w:spacing w:line="44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合同执行中发生争议的，甲、乙双方应协商解决，协商达不成一致时，可向甲方所在地人民法院提起诉讼。</w:t>
      </w:r>
    </w:p>
    <w:p w14:paraId="6C89F554">
      <w:pPr>
        <w:tabs>
          <w:tab w:val="left" w:pos="5355"/>
        </w:tabs>
        <w:spacing w:line="440" w:lineRule="exact"/>
        <w:ind w:firstLine="482" w:firstLineChars="200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十二、其它事项</w:t>
      </w:r>
    </w:p>
    <w:p w14:paraId="20327B5C">
      <w:pPr>
        <w:adjustRightInd w:val="0"/>
        <w:snapToGrid w:val="0"/>
        <w:spacing w:line="440" w:lineRule="exact"/>
        <w:ind w:firstLine="600" w:firstLineChars="2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1、甲、乙双方做为合同执行的主体，有义务及时完全履行合同。</w:t>
      </w:r>
    </w:p>
    <w:p w14:paraId="7A3EFC27">
      <w:pPr>
        <w:adjustRightInd w:val="0"/>
        <w:snapToGrid w:val="0"/>
        <w:spacing w:line="440" w:lineRule="exact"/>
        <w:ind w:firstLine="600" w:firstLineChars="2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2、甲方使用部门代表签署合同，并随时监督合同履行情况。</w:t>
      </w:r>
    </w:p>
    <w:p w14:paraId="4A179A52">
      <w:pPr>
        <w:adjustRightInd w:val="0"/>
        <w:snapToGrid w:val="0"/>
        <w:spacing w:line="440" w:lineRule="exact"/>
        <w:ind w:firstLine="600" w:firstLineChars="2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3、合同未尽事宜，由甲、乙双方协商，协商方案作为本合同不可分割的组成部分，与本合同具有同等法律效力。</w:t>
      </w:r>
    </w:p>
    <w:p w14:paraId="57E1D12D">
      <w:pPr>
        <w:adjustRightInd w:val="0"/>
        <w:snapToGrid w:val="0"/>
        <w:spacing w:line="440" w:lineRule="exact"/>
        <w:ind w:firstLine="600" w:firstLineChars="2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4、招标文件和乙方的投标文件以及合同附件均为合同不可分割的部分。</w:t>
      </w:r>
    </w:p>
    <w:p w14:paraId="0BAB9CB2">
      <w:pPr>
        <w:adjustRightInd w:val="0"/>
        <w:snapToGrid w:val="0"/>
        <w:spacing w:line="440" w:lineRule="exact"/>
        <w:ind w:firstLine="600" w:firstLineChars="2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5、合同一式陆份，甲方持肆份、乙方执壹份，招标代理机构壹份。双方签字盖章后生效，合同执行完毕自动失效。（合同的服务承诺长期有效）。</w:t>
      </w:r>
    </w:p>
    <w:p w14:paraId="3C091746">
      <w:pPr>
        <w:adjustRightInd w:val="0"/>
        <w:snapToGrid w:val="0"/>
        <w:spacing w:line="440" w:lineRule="exact"/>
        <w:ind w:firstLine="600" w:firstLineChars="2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6、使用单位收货、验货人员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</w:rPr>
        <w:t>：电话：_______________</w:t>
      </w:r>
      <w:r>
        <w:rPr>
          <w:rFonts w:hint="eastAsia" w:ascii="宋体" w:hAnsi="宋体" w:eastAsia="宋体" w:cs="宋体"/>
          <w:lang w:eastAsia="zh-CN"/>
        </w:rPr>
        <w:t>。</w:t>
      </w:r>
      <w:r>
        <w:rPr>
          <w:rFonts w:hint="eastAsia" w:ascii="宋体" w:hAnsi="宋体" w:eastAsia="宋体" w:cs="宋体"/>
        </w:rPr>
        <w:t>　</w:t>
      </w:r>
    </w:p>
    <w:p w14:paraId="70A83F2B">
      <w:pPr>
        <w:pStyle w:val="2"/>
        <w:rPr>
          <w:rFonts w:hint="eastAsia" w:ascii="宋体" w:hAnsi="宋体" w:eastAsia="宋体" w:cs="宋体"/>
        </w:rPr>
      </w:pPr>
    </w:p>
    <w:p w14:paraId="0D36387C">
      <w:pPr>
        <w:pStyle w:val="2"/>
        <w:rPr>
          <w:rFonts w:hint="eastAsia" w:ascii="宋体" w:hAnsi="宋体" w:eastAsia="宋体" w:cs="宋体"/>
        </w:rPr>
      </w:pPr>
    </w:p>
    <w:p w14:paraId="6CC4AC26">
      <w:pPr>
        <w:pStyle w:val="2"/>
        <w:ind w:left="0" w:leftChars="0" w:firstLine="0" w:firstLineChars="0"/>
        <w:rPr>
          <w:rFonts w:hint="eastAsia" w:ascii="宋体" w:hAnsi="宋体" w:eastAsia="宋体" w:cs="宋体"/>
        </w:rPr>
      </w:pPr>
    </w:p>
    <w:tbl>
      <w:tblPr>
        <w:tblStyle w:val="5"/>
        <w:tblpPr w:leftFromText="180" w:rightFromText="180" w:vertAnchor="text" w:horzAnchor="page" w:tblpXSpec="center" w:tblpY="147"/>
        <w:tblOverlap w:val="never"/>
        <w:tblW w:w="508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9"/>
        <w:gridCol w:w="4537"/>
      </w:tblGrid>
      <w:tr w14:paraId="6F7C3C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9" w:type="pct"/>
            <w:noWrap/>
            <w:vAlign w:val="center"/>
          </w:tcPr>
          <w:p w14:paraId="474F8F6E">
            <w:pPr>
              <w:spacing w:line="348" w:lineRule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甲方（买方）：</w:t>
            </w:r>
          </w:p>
        </w:tc>
        <w:tc>
          <w:tcPr>
            <w:tcW w:w="2591" w:type="pct"/>
            <w:noWrap/>
            <w:vAlign w:val="center"/>
          </w:tcPr>
          <w:p w14:paraId="276C33FE">
            <w:pPr>
              <w:spacing w:line="348" w:lineRule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乙方（卖方）：</w:t>
            </w:r>
          </w:p>
        </w:tc>
      </w:tr>
      <w:tr w14:paraId="571E4C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9" w:type="pct"/>
            <w:noWrap/>
            <w:vAlign w:val="center"/>
          </w:tcPr>
          <w:p w14:paraId="0CE15292">
            <w:pPr>
              <w:spacing w:line="348" w:lineRule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地　址：</w:t>
            </w:r>
          </w:p>
        </w:tc>
        <w:tc>
          <w:tcPr>
            <w:tcW w:w="2591" w:type="pct"/>
            <w:noWrap/>
            <w:vAlign w:val="center"/>
          </w:tcPr>
          <w:p w14:paraId="77B6F418">
            <w:pPr>
              <w:spacing w:line="348" w:lineRule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地　址：</w:t>
            </w:r>
          </w:p>
        </w:tc>
      </w:tr>
      <w:tr w14:paraId="21907E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9" w:type="pct"/>
            <w:noWrap/>
            <w:vAlign w:val="center"/>
          </w:tcPr>
          <w:p w14:paraId="16F371AB">
            <w:pPr>
              <w:spacing w:line="348" w:lineRule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授权代理人：　</w:t>
            </w:r>
          </w:p>
        </w:tc>
        <w:tc>
          <w:tcPr>
            <w:tcW w:w="2591" w:type="pct"/>
            <w:noWrap/>
            <w:vAlign w:val="center"/>
          </w:tcPr>
          <w:p w14:paraId="7ED230F7">
            <w:pPr>
              <w:tabs>
                <w:tab w:val="left" w:pos="5355"/>
              </w:tabs>
              <w:spacing w:line="500" w:lineRule="exac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授权代理人</w:t>
            </w:r>
          </w:p>
        </w:tc>
      </w:tr>
      <w:tr w14:paraId="714CAC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9" w:type="pct"/>
            <w:noWrap/>
            <w:vAlign w:val="center"/>
          </w:tcPr>
          <w:p w14:paraId="4F66A37E">
            <w:pPr>
              <w:spacing w:line="348" w:lineRule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联系电话：</w:t>
            </w:r>
          </w:p>
        </w:tc>
        <w:tc>
          <w:tcPr>
            <w:tcW w:w="2591" w:type="pct"/>
            <w:noWrap/>
            <w:vAlign w:val="center"/>
          </w:tcPr>
          <w:p w14:paraId="6772E9A0">
            <w:pPr>
              <w:spacing w:line="348" w:lineRule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联系电话：</w:t>
            </w:r>
          </w:p>
        </w:tc>
      </w:tr>
      <w:tr w14:paraId="399381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9" w:type="pct"/>
            <w:noWrap/>
            <w:vAlign w:val="center"/>
          </w:tcPr>
          <w:p w14:paraId="3A101347">
            <w:pPr>
              <w:spacing w:line="348" w:lineRule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开户行：</w:t>
            </w:r>
          </w:p>
        </w:tc>
        <w:tc>
          <w:tcPr>
            <w:tcW w:w="2591" w:type="pct"/>
            <w:noWrap/>
            <w:vAlign w:val="center"/>
          </w:tcPr>
          <w:p w14:paraId="4EF998D7">
            <w:pPr>
              <w:tabs>
                <w:tab w:val="left" w:pos="5355"/>
              </w:tabs>
              <w:spacing w:line="500" w:lineRule="exac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开户行：</w:t>
            </w:r>
          </w:p>
        </w:tc>
      </w:tr>
      <w:tr w14:paraId="72D741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9" w:type="pct"/>
            <w:noWrap/>
            <w:vAlign w:val="center"/>
          </w:tcPr>
          <w:p w14:paraId="09F88C0E">
            <w:pPr>
              <w:spacing w:line="348" w:lineRule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账号：</w:t>
            </w:r>
          </w:p>
        </w:tc>
        <w:tc>
          <w:tcPr>
            <w:tcW w:w="2591" w:type="pct"/>
            <w:noWrap/>
            <w:vAlign w:val="center"/>
          </w:tcPr>
          <w:p w14:paraId="3CE3B630">
            <w:pPr>
              <w:tabs>
                <w:tab w:val="left" w:pos="5355"/>
              </w:tabs>
              <w:spacing w:line="500" w:lineRule="exac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账号：</w:t>
            </w:r>
          </w:p>
        </w:tc>
      </w:tr>
      <w:tr w14:paraId="39B11D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9" w:type="pct"/>
            <w:noWrap/>
            <w:vAlign w:val="center"/>
          </w:tcPr>
          <w:p w14:paraId="5D3FD250">
            <w:pPr>
              <w:spacing w:line="348" w:lineRule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日期：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</w:rPr>
              <w:t>年  月   日</w:t>
            </w:r>
          </w:p>
        </w:tc>
        <w:tc>
          <w:tcPr>
            <w:tcW w:w="2591" w:type="pct"/>
            <w:noWrap/>
            <w:vAlign w:val="center"/>
          </w:tcPr>
          <w:p w14:paraId="7C2FB75C">
            <w:pPr>
              <w:spacing w:line="348" w:lineRule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日期：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</w:rPr>
              <w:t>年  月  日</w:t>
            </w:r>
          </w:p>
        </w:tc>
      </w:tr>
    </w:tbl>
    <w:p w14:paraId="6C1CC876">
      <w:pPr>
        <w:snapToGrid w:val="0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</w:p>
    <w:p w14:paraId="6694F05A">
      <w:pPr>
        <w:snapToGrid w:val="0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</w:p>
    <w:p w14:paraId="0BE3D2F9">
      <w:pPr>
        <w:rPr>
          <w:rFonts w:hint="eastAsia" w:ascii="宋体" w:hAnsi="宋体" w:eastAsia="宋体" w:cs="宋体"/>
        </w:rPr>
      </w:pPr>
    </w:p>
    <w:p w14:paraId="2DA13519">
      <w:pPr>
        <w:rPr>
          <w:rFonts w:hint="eastAsia" w:ascii="宋体" w:hAnsi="宋体" w:eastAsia="宋体" w:cs="宋体"/>
        </w:rPr>
      </w:pPr>
    </w:p>
    <w:sectPr>
      <w:footerReference r:id="rId5" w:type="default"/>
      <w:pgSz w:w="11906" w:h="16838"/>
      <w:pgMar w:top="1440" w:right="1706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64597363"/>
      <w:docPartObj>
        <w:docPartGallery w:val="autotext"/>
      </w:docPartObj>
    </w:sdtPr>
    <w:sdtContent>
      <w:p w14:paraId="5F2D6F66">
        <w:pPr>
          <w:pStyle w:val="4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 w14:paraId="699A9A49"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4433B7"/>
    <w:rsid w:val="07C338E5"/>
    <w:rsid w:val="0B6E1EE8"/>
    <w:rsid w:val="10A2678D"/>
    <w:rsid w:val="136C6BDF"/>
    <w:rsid w:val="15113EE2"/>
    <w:rsid w:val="161C0D90"/>
    <w:rsid w:val="19873B27"/>
    <w:rsid w:val="216F6ECA"/>
    <w:rsid w:val="217D030F"/>
    <w:rsid w:val="23ED3D6C"/>
    <w:rsid w:val="23FA3D93"/>
    <w:rsid w:val="27360885"/>
    <w:rsid w:val="2EF01665"/>
    <w:rsid w:val="2F740E9D"/>
    <w:rsid w:val="2FB1116B"/>
    <w:rsid w:val="31D367ED"/>
    <w:rsid w:val="32562ADC"/>
    <w:rsid w:val="42607DD3"/>
    <w:rsid w:val="449000D0"/>
    <w:rsid w:val="4DF23BA9"/>
    <w:rsid w:val="4E241889"/>
    <w:rsid w:val="507A1A0D"/>
    <w:rsid w:val="54EE750F"/>
    <w:rsid w:val="57FC5FF8"/>
    <w:rsid w:val="59BA1FB3"/>
    <w:rsid w:val="59C36E2A"/>
    <w:rsid w:val="59D73E0D"/>
    <w:rsid w:val="5A2C0443"/>
    <w:rsid w:val="5A3B32E9"/>
    <w:rsid w:val="5A667ADA"/>
    <w:rsid w:val="5BCF1086"/>
    <w:rsid w:val="60123380"/>
    <w:rsid w:val="618535EF"/>
    <w:rsid w:val="61C270C2"/>
    <w:rsid w:val="7156797C"/>
    <w:rsid w:val="729F75AC"/>
    <w:rsid w:val="78044C6A"/>
    <w:rsid w:val="7B9E7C41"/>
    <w:rsid w:val="7D162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line="576" w:lineRule="auto"/>
      <w:jc w:val="center"/>
      <w:outlineLvl w:val="0"/>
    </w:pPr>
    <w:rPr>
      <w:rFonts w:eastAsia="宋体"/>
      <w:b/>
      <w:kern w:val="44"/>
      <w:sz w:val="36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widowControl w:val="0"/>
      <w:adjustRightInd w:val="0"/>
      <w:ind w:left="420" w:right="33"/>
      <w:textAlignment w:val="baseline"/>
    </w:pPr>
    <w:rPr>
      <w:sz w:val="24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customStyle="1" w:styleId="7">
    <w:name w:val="正文文字"/>
    <w:next w:val="1"/>
    <w:autoRedefine/>
    <w:qFormat/>
    <w:uiPriority w:val="0"/>
    <w:pPr>
      <w:adjustRightInd w:val="0"/>
      <w:snapToGrid w:val="0"/>
      <w:spacing w:after="120" w:line="600" w:lineRule="exact"/>
    </w:pPr>
    <w:rPr>
      <w:rFonts w:ascii="Tahoma" w:hAnsi="Tahoma" w:eastAsia="微软雅黑" w:cs="Arial"/>
      <w:sz w:val="22"/>
      <w:szCs w:val="22"/>
      <w:lang w:val="en-US" w:eastAsia="zh-CN" w:bidi="ar-SA"/>
    </w:rPr>
  </w:style>
  <w:style w:type="paragraph" w:customStyle="1" w:styleId="8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character" w:customStyle="1" w:styleId="9">
    <w:name w:val="font41"/>
    <w:basedOn w:val="6"/>
    <w:qFormat/>
    <w:uiPriority w:val="0"/>
    <w:rPr>
      <w:rFonts w:hint="eastAsia" w:ascii="仿宋" w:hAnsi="仿宋" w:eastAsia="仿宋" w:cs="仿宋"/>
      <w:color w:val="000000"/>
      <w:sz w:val="20"/>
      <w:szCs w:val="20"/>
      <w:u w:val="none"/>
    </w:rPr>
  </w:style>
  <w:style w:type="character" w:customStyle="1" w:styleId="10">
    <w:name w:val="font51"/>
    <w:basedOn w:val="6"/>
    <w:autoRedefine/>
    <w:qFormat/>
    <w:uiPriority w:val="0"/>
    <w:rPr>
      <w:rFonts w:hint="eastAsia" w:ascii="仿宋" w:hAnsi="仿宋" w:eastAsia="仿宋" w:cs="仿宋"/>
      <w:color w:val="000000"/>
      <w:sz w:val="20"/>
      <w:szCs w:val="20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2449</Words>
  <Characters>2482</Characters>
  <Lines>0</Lines>
  <Paragraphs>0</Paragraphs>
  <TotalTime>0</TotalTime>
  <ScaleCrop>false</ScaleCrop>
  <LinksUpToDate>false</LinksUpToDate>
  <CharactersWithSpaces>2720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2024-11-22T09:09:00Z</dcterms:created>
  <dc:creator>lenovo</dc:creator>
  <cp:lastModifiedBy>天冬</cp:lastModifiedBy>
  <dcterms:modified xsi:type="dcterms:W3CDTF">2025-06-01T16:41:59Z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CBC2BBA653924962849BAD5012802F40_12</vt:lpwstr>
  </property>
  <property fmtid="{D5CDD505-2E9C-101B-9397-08002B2CF9AE}" pid="4" name="KSOTemplateDocerSaveRecord">
    <vt:lpwstr>eyJoZGlkIjoiZjM1MGRlNDE0ODcxMDAwNjczNDRlYTE4YzJkOTdiZGYiLCJ1c2VySWQiOiIzMTM2NDM2NDQifQ==</vt:lpwstr>
  </property>
</Properties>
</file>