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A39C3">
      <w:pPr>
        <w:jc w:val="center"/>
        <w:rPr>
          <w:rFonts w:hint="default" w:eastAsia="仿宋_GB2312"/>
          <w:b/>
          <w:bCs/>
          <w:sz w:val="40"/>
          <w:szCs w:val="22"/>
          <w:lang w:val="en-US" w:eastAsia="zh-CN"/>
        </w:rPr>
      </w:pPr>
      <w:r>
        <w:rPr>
          <w:rFonts w:hint="eastAsia"/>
          <w:b/>
          <w:bCs/>
          <w:sz w:val="40"/>
          <w:szCs w:val="22"/>
          <w:lang w:val="en-US" w:eastAsia="zh-CN"/>
        </w:rPr>
        <w:t>基本信息查询</w:t>
      </w:r>
    </w:p>
    <w:p w14:paraId="71AE2A8C">
      <w:pPr>
        <w:spacing w:line="24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623AA7C0">
      <w:pPr>
        <w:spacing w:line="24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供应商基本信息及项目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经理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的基本信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息在“全国建筑市场监管公共服务平台”可查询且无不良记录（提供网页截图）。</w:t>
      </w:r>
    </w:p>
    <w:p w14:paraId="224DC661">
      <w:pPr>
        <w:ind w:firstLine="562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p w14:paraId="4AA8004D">
      <w:pPr>
        <w:spacing w:line="24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DF10A88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A3C512E"/>
    <w:rsid w:val="4BE156B5"/>
    <w:rsid w:val="4EE80B08"/>
    <w:rsid w:val="505D6D39"/>
    <w:rsid w:val="50742555"/>
    <w:rsid w:val="530774AF"/>
    <w:rsid w:val="543A5022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576" w:lineRule="exact"/>
      <w:jc w:val="both"/>
    </w:pPr>
    <w:rPr>
      <w:rFonts w:ascii="Times New Roman" w:hAnsi="Times New Roman" w:eastAsia="仿宋_GB2312" w:cstheme="minorBidi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2023-03-24T03:57:00Z</dcterms:created>
  <dc:creator>DELL</dc:creator>
  <cp:lastModifiedBy>陕西华采招标有限公司</cp:lastModifiedBy>
  <dcterms:modified xsi:type="dcterms:W3CDTF">2025-06-03T10:50:46Z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2565929D983A4C9D93BB486716BBE886_12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