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版本号：ZCZX2025-TP-098（S）20250601001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木工设备及手工实践系统(二次)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ZCZX2025-TP-098（S）</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木工设备及手工实践系统(二次)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ZCZX2025-TP-098（S）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木工设备及手工实践系统(二次)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采购包1：拟采购激光选区熔化成形设备2套。 具体采购内容及要求详见本项目竞争性谈判文件。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采购包1（激光选区熔化成形设备）：属于专门面向中小企业采购。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孟凌 吴芳超 姚海麟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开户名称：陕西众诚致信管理咨询有限公司</w:t>
            </w:r>
          </w:p>
          <w:p>
            <w:pPr>
              <w:pStyle w:val="null3"/>
            </w:pPr>
            <w:r>
              <w:rPr>
                <w:rFonts w:ascii="仿宋_GB2312" w:hAnsi="仿宋_GB2312" w:cs="仿宋_GB2312" w:eastAsia="仿宋_GB2312"/>
              </w:rPr>
              <w:t>开户银行：中国银行西安东二环景观路支行</w:t>
            </w:r>
          </w:p>
          <w:p>
            <w:pPr>
              <w:pStyle w:val="null3"/>
            </w:pPr>
            <w:r>
              <w:rPr>
                <w:rFonts w:ascii="仿宋_GB2312" w:hAnsi="仿宋_GB2312" w:cs="仿宋_GB2312" w:eastAsia="仿宋_GB2312"/>
              </w:rPr>
              <w:t>银行账号：103687546832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说明：合同签订前，乙方须向甲方提交合同总价的 5%作为履约保证金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按包计取；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陕西众诚致信管理咨询有限公司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 姚海麟</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采购包1：拟采购激光选区熔化成形设备2套。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激光选区熔化成形设备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标的名称：激光选区熔化成形设备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46"/>
              <w:gridCol w:w="325"/>
              <w:gridCol w:w="798"/>
              <w:gridCol w:w="1461"/>
              <w:gridCol w:w="248"/>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产品名称</w:t>
                  </w:r>
                </w:p>
              </w:tc>
              <w:tc>
                <w:tcPr>
                  <w:tcW w:type="dxa" w:w="7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技术标准</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配置要求</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激光选区熔化成形设备</w:t>
                  </w:r>
                </w:p>
              </w:tc>
              <w:tc>
                <w:tcPr>
                  <w:tcW w:type="dxa" w:w="7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成型尺寸：≥Φ150mm</w:t>
                  </w:r>
                  <w:r>
                    <w:rPr>
                      <w:rFonts w:ascii="仿宋_GB2312" w:hAnsi="仿宋_GB2312" w:cs="仿宋_GB2312" w:eastAsia="仿宋_GB2312"/>
                      <w:sz w:val="21"/>
                    </w:rPr>
                    <w:t>´</w:t>
                  </w:r>
                  <w:r>
                    <w:rPr>
                      <w:rFonts w:ascii="仿宋_GB2312" w:hAnsi="仿宋_GB2312" w:cs="仿宋_GB2312" w:eastAsia="仿宋_GB2312"/>
                      <w:sz w:val="21"/>
                    </w:rPr>
                    <w:t>100mm（含基板），</w:t>
                  </w:r>
                  <w:r>
                    <w:rPr>
                      <w:rFonts w:ascii="仿宋_GB2312" w:hAnsi="仿宋_GB2312" w:cs="仿宋_GB2312" w:eastAsia="仿宋_GB2312"/>
                      <w:sz w:val="21"/>
                    </w:rPr>
                    <w:t>须提供实物照片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 激光器：采用连续光纤激光器，功率≥500W，激光波长1060</w:t>
                  </w:r>
                  <w:r>
                    <w:rPr>
                      <w:rFonts w:ascii="仿宋_GB2312" w:hAnsi="仿宋_GB2312" w:cs="仿宋_GB2312" w:eastAsia="仿宋_GB2312"/>
                      <w:sz w:val="21"/>
                    </w:rPr>
                    <w:t>~</w:t>
                  </w:r>
                  <w:r>
                    <w:rPr>
                      <w:rFonts w:ascii="仿宋_GB2312" w:hAnsi="仿宋_GB2312" w:cs="仿宋_GB2312" w:eastAsia="仿宋_GB2312"/>
                      <w:sz w:val="21"/>
                    </w:rPr>
                    <w:t>1080nm，M</w:t>
                  </w:r>
                  <w:r>
                    <w:rPr>
                      <w:rFonts w:ascii="仿宋_GB2312" w:hAnsi="仿宋_GB2312" w:cs="仿宋_GB2312" w:eastAsia="仿宋_GB2312"/>
                      <w:sz w:val="21"/>
                      <w:vertAlign w:val="superscript"/>
                    </w:rPr>
                    <w:t>2</w:t>
                  </w:r>
                  <w:r>
                    <w:rPr>
                      <w:rFonts w:ascii="仿宋_GB2312" w:hAnsi="仿宋_GB2312" w:cs="仿宋_GB2312" w:eastAsia="仿宋_GB2312"/>
                      <w:sz w:val="21"/>
                    </w:rPr>
                    <w:t>≤1.1；</w:t>
                  </w:r>
                </w:p>
                <w:p>
                  <w:pPr>
                    <w:pStyle w:val="null3"/>
                    <w:jc w:val="left"/>
                  </w:pPr>
                  <w:r>
                    <w:rPr>
                      <w:rFonts w:ascii="仿宋_GB2312" w:hAnsi="仿宋_GB2312" w:cs="仿宋_GB2312" w:eastAsia="仿宋_GB2312"/>
                      <w:sz w:val="21"/>
                    </w:rPr>
                    <w:t>3. 振镜：全数字式高速扫描振镜，线扫描速度≥7m/s，扫描振镜非线性误差≤40μm，最大通过激光功率1000w，响应速度&lt;0.35ms；</w:t>
                  </w:r>
                </w:p>
                <w:p>
                  <w:pPr>
                    <w:pStyle w:val="null3"/>
                    <w:jc w:val="left"/>
                  </w:pPr>
                  <w:r>
                    <w:rPr>
                      <w:rFonts w:ascii="仿宋_GB2312" w:hAnsi="仿宋_GB2312" w:cs="仿宋_GB2312" w:eastAsia="仿宋_GB2312"/>
                      <w:sz w:val="21"/>
                    </w:rPr>
                    <w:t>4. 打印层厚：10μm-50μm；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 光斑直径：30μm-50μm；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 Z轴重复定位精度：±0.005mm，</w:t>
                  </w:r>
                  <w:r>
                    <w:rPr>
                      <w:rFonts w:ascii="仿宋_GB2312" w:hAnsi="仿宋_GB2312" w:cs="仿宋_GB2312" w:eastAsia="仿宋_GB2312"/>
                      <w:sz w:val="21"/>
                    </w:rPr>
                    <w:t>须提供定位精度曲线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 零件打印尺寸精度：0-100mm：±0.1mm；100mm以上：±0.1%（以标准样件为准）；</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氧浓度控制能力：≤100ppm；</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 独立外置的气氛循环净化系统：</w:t>
                  </w:r>
                  <w:r>
                    <w:rPr>
                      <w:rFonts w:ascii="仿宋_GB2312" w:hAnsi="仿宋_GB2312" w:cs="仿宋_GB2312" w:eastAsia="仿宋_GB2312"/>
                      <w:sz w:val="21"/>
                    </w:rPr>
                    <w:t>提供实物图片</w:t>
                  </w:r>
                  <w:r>
                    <w:rPr>
                      <w:rFonts w:ascii="仿宋_GB2312" w:hAnsi="仿宋_GB2312" w:cs="仿宋_GB2312" w:eastAsia="仿宋_GB2312"/>
                      <w:sz w:val="21"/>
                    </w:rPr>
                    <w:t>，整体密封、氧含量自动监控；循环净化除尘率</w:t>
                  </w:r>
                  <w:r>
                    <w:rPr>
                      <w:rFonts w:ascii="仿宋_GB2312" w:hAnsi="仿宋_GB2312" w:cs="仿宋_GB2312" w:eastAsia="仿宋_GB2312"/>
                      <w:sz w:val="21"/>
                    </w:rPr>
                    <w:t>≥99%；</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 打印粉末材料：钛合金、高温合金、不锈钢、模具钢、钴铬合金、铜合金、钽等；</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 零件致密度：≥99%；</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 xml:space="preserve">2. </w:t>
                  </w:r>
                  <w:r>
                    <w:rPr>
                      <w:rFonts w:ascii="仿宋_GB2312" w:hAnsi="仿宋_GB2312" w:cs="仿宋_GB2312" w:eastAsia="仿宋_GB2312"/>
                      <w:sz w:val="21"/>
                    </w:rPr>
                    <w:t>设备对操作人员有较好的粉尘防护措施，</w:t>
                  </w:r>
                  <w:r>
                    <w:rPr>
                      <w:rFonts w:ascii="仿宋_GB2312" w:hAnsi="仿宋_GB2312" w:cs="仿宋_GB2312" w:eastAsia="仿宋_GB2312"/>
                      <w:sz w:val="21"/>
                    </w:rPr>
                    <w:t>具备集成手套箱配置和中途加粉功能，须提供实物照片</w:t>
                  </w:r>
                  <w:r>
                    <w:rPr>
                      <w:rFonts w:ascii="仿宋_GB2312" w:hAnsi="仿宋_GB2312" w:cs="仿宋_GB2312" w:eastAsia="仿宋_GB2312"/>
                      <w:sz w:val="21"/>
                    </w:rPr>
                    <w:t>；</w:t>
                  </w:r>
                </w:p>
                <w:p>
                  <w:pPr>
                    <w:pStyle w:val="null3"/>
                    <w:jc w:val="left"/>
                  </w:pP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切片支撑软件：使用STL格式呈现，具备拉伸、缩放、抽壳、布尔运算等模型编辑功能；</w:t>
                  </w:r>
                </w:p>
                <w:p>
                  <w:pPr>
                    <w:pStyle w:val="null3"/>
                    <w:jc w:val="left"/>
                  </w:pPr>
                  <w:r>
                    <w:rPr>
                      <w:rFonts w:ascii="仿宋_GB2312" w:hAnsi="仿宋_GB2312" w:cs="仿宋_GB2312" w:eastAsia="仿宋_GB2312"/>
                      <w:sz w:val="21"/>
                    </w:rPr>
                    <w:t>2. 设备操作软件：具备打印信息记录及分析功能，具备断电续打功能，并生成可追溯打印日志；须提供</w:t>
                  </w:r>
                  <w:r>
                    <w:rPr>
                      <w:rFonts w:ascii="仿宋_GB2312" w:hAnsi="仿宋_GB2312" w:cs="仿宋_GB2312" w:eastAsia="仿宋_GB2312"/>
                      <w:sz w:val="21"/>
                    </w:rPr>
                    <w:t>相关软件著作权证书及</w:t>
                  </w:r>
                  <w:r>
                    <w:rPr>
                      <w:rFonts w:ascii="仿宋_GB2312" w:hAnsi="仿宋_GB2312" w:cs="仿宋_GB2312" w:eastAsia="仿宋_GB2312"/>
                      <w:sz w:val="21"/>
                    </w:rPr>
                    <w:t>软件功能截图；</w:t>
                  </w:r>
                </w:p>
                <w:p>
                  <w:pPr>
                    <w:pStyle w:val="null3"/>
                    <w:jc w:val="left"/>
                  </w:pPr>
                  <w:r>
                    <w:rPr>
                      <w:rFonts w:ascii="仿宋_GB2312" w:hAnsi="仿宋_GB2312" w:cs="仿宋_GB2312" w:eastAsia="仿宋_GB2312"/>
                      <w:sz w:val="21"/>
                    </w:rPr>
                    <w:t>3. 设备后续更新升级能力：为配合后期升级需求，设备生产商应掌握涵盖激光增减材、自动嫁接、光束整形、多材料成形、熔池监控、大小缸切换等技术；须提供相应的证明材料；</w:t>
                  </w:r>
                </w:p>
                <w:p>
                  <w:pPr>
                    <w:pStyle w:val="null3"/>
                    <w:jc w:val="left"/>
                  </w:pPr>
                  <w:r>
                    <w:rPr>
                      <w:rFonts w:ascii="仿宋_GB2312" w:hAnsi="仿宋_GB2312" w:cs="仿宋_GB2312" w:eastAsia="仿宋_GB2312"/>
                      <w:sz w:val="21"/>
                    </w:rPr>
                    <w:t>4. 防爆吸尘器：功率≥1.2kW，风量≥210m</w:t>
                  </w:r>
                  <w:r>
                    <w:rPr>
                      <w:rFonts w:ascii="仿宋_GB2312" w:hAnsi="仿宋_GB2312" w:cs="仿宋_GB2312" w:eastAsia="仿宋_GB2312"/>
                      <w:sz w:val="21"/>
                      <w:vertAlign w:val="superscript"/>
                    </w:rPr>
                    <w:t>3</w:t>
                  </w:r>
                  <w:r>
                    <w:rPr>
                      <w:rFonts w:ascii="仿宋_GB2312" w:hAnsi="仿宋_GB2312" w:cs="仿宋_GB2312" w:eastAsia="仿宋_GB2312"/>
                      <w:sz w:val="21"/>
                    </w:rPr>
                    <w:t>/h；液体过滤层，过滤精度≥0.28μm；全机防静电，防爆；</w:t>
                  </w:r>
                </w:p>
                <w:p>
                  <w:pPr>
                    <w:pStyle w:val="null3"/>
                    <w:jc w:val="left"/>
                  </w:pPr>
                  <w:r>
                    <w:rPr>
                      <w:rFonts w:ascii="仿宋_GB2312" w:hAnsi="仿宋_GB2312" w:cs="仿宋_GB2312" w:eastAsia="仿宋_GB2312"/>
                      <w:sz w:val="21"/>
                    </w:rPr>
                    <w:t>5. 振动筛：电控精密高效快接接口筛粉器，技术参数同等或优于以下指标；噪音≤50dB，振动频率≥1400 次/分，筛粉粒度0.025-3mm，筛网配套2个；</w:t>
                  </w:r>
                </w:p>
                <w:p>
                  <w:pPr>
                    <w:pStyle w:val="null3"/>
                    <w:jc w:val="left"/>
                  </w:pPr>
                  <w:r>
                    <w:rPr>
                      <w:rFonts w:ascii="仿宋_GB2312" w:hAnsi="仿宋_GB2312" w:cs="仿宋_GB2312" w:eastAsia="仿宋_GB2312"/>
                      <w:sz w:val="21"/>
                    </w:rPr>
                    <w:t>6. 真空干燥箱：加热功率≥3kw，舱内尺寸≥350</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w:t>
                  </w:r>
                  <w:r>
                    <w:rPr>
                      <w:rFonts w:ascii="仿宋_GB2312" w:hAnsi="仿宋_GB2312" w:cs="仿宋_GB2312" w:eastAsia="仿宋_GB2312"/>
                      <w:sz w:val="21"/>
                    </w:rPr>
                    <w:t>350mm，控温范围+20-300℃，温度跳动±1℃；</w:t>
                  </w:r>
                </w:p>
                <w:p>
                  <w:pPr>
                    <w:pStyle w:val="null3"/>
                    <w:jc w:val="left"/>
                  </w:pPr>
                  <w:r>
                    <w:rPr>
                      <w:rFonts w:ascii="仿宋_GB2312" w:hAnsi="仿宋_GB2312" w:cs="仿宋_GB2312" w:eastAsia="仿宋_GB2312"/>
                      <w:sz w:val="21"/>
                    </w:rPr>
                    <w:t>7. 不锈钢基板：数量≥</w:t>
                  </w:r>
                  <w:r>
                    <w:rPr>
                      <w:rFonts w:ascii="仿宋_GB2312" w:hAnsi="仿宋_GB2312" w:cs="仿宋_GB2312" w:eastAsia="仿宋_GB2312"/>
                      <w:sz w:val="21"/>
                    </w:rPr>
                    <w:t>10</w:t>
                  </w:r>
                  <w:r>
                    <w:rPr>
                      <w:rFonts w:ascii="仿宋_GB2312" w:hAnsi="仿宋_GB2312" w:cs="仿宋_GB2312" w:eastAsia="仿宋_GB2312"/>
                      <w:sz w:val="21"/>
                    </w:rPr>
                    <w:t>块，尺寸</w:t>
                  </w:r>
                  <w:r>
                    <w:rPr>
                      <w:rFonts w:ascii="仿宋_GB2312" w:hAnsi="仿宋_GB2312" w:cs="仿宋_GB2312" w:eastAsia="仿宋_GB2312"/>
                      <w:sz w:val="21"/>
                    </w:rPr>
                    <w:t>≥Φ150mm</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8. 滤芯：数量≥</w:t>
                  </w:r>
                  <w:r>
                    <w:rPr>
                      <w:rFonts w:ascii="仿宋_GB2312" w:hAnsi="仿宋_GB2312" w:cs="仿宋_GB2312" w:eastAsia="仿宋_GB2312"/>
                      <w:sz w:val="21"/>
                    </w:rPr>
                    <w:t>6</w:t>
                  </w:r>
                  <w:r>
                    <w:rPr>
                      <w:rFonts w:ascii="仿宋_GB2312" w:hAnsi="仿宋_GB2312" w:cs="仿宋_GB2312" w:eastAsia="仿宋_GB2312"/>
                      <w:sz w:val="21"/>
                    </w:rPr>
                    <w:t>套，寿命</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小时，烟尘过滤效率</w:t>
                  </w:r>
                  <w:r>
                    <w:rPr>
                      <w:rFonts w:ascii="仿宋_GB2312" w:hAnsi="仿宋_GB2312" w:cs="仿宋_GB2312" w:eastAsia="仿宋_GB2312"/>
                      <w:sz w:val="21"/>
                    </w:rPr>
                    <w:t>≥99%；</w:t>
                  </w:r>
                </w:p>
                <w:p>
                  <w:pPr>
                    <w:pStyle w:val="null3"/>
                    <w:jc w:val="left"/>
                  </w:pPr>
                  <w:r>
                    <w:rPr>
                      <w:rFonts w:ascii="仿宋_GB2312" w:hAnsi="仿宋_GB2312" w:cs="仿宋_GB2312" w:eastAsia="仿宋_GB2312"/>
                      <w:sz w:val="21"/>
                    </w:rPr>
                    <w:t>9. 柔性刮刀：数量≥</w:t>
                  </w:r>
                  <w:r>
                    <w:rPr>
                      <w:rFonts w:ascii="仿宋_GB2312" w:hAnsi="仿宋_GB2312" w:cs="仿宋_GB2312" w:eastAsia="仿宋_GB2312"/>
                      <w:sz w:val="21"/>
                    </w:rPr>
                    <w:t>8</w:t>
                  </w:r>
                  <w:r>
                    <w:rPr>
                      <w:rFonts w:ascii="仿宋_GB2312" w:hAnsi="仿宋_GB2312" w:cs="仿宋_GB2312" w:eastAsia="仿宋_GB2312"/>
                      <w:sz w:val="21"/>
                    </w:rPr>
                    <w:t>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2</w:t>
                  </w:r>
                </w:p>
              </w:tc>
            </w:tr>
            <w:tr>
              <w:tc>
                <w:tcPr>
                  <w:tcW w:type="dxa" w:w="6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其他要求</w:t>
                  </w:r>
                </w:p>
              </w:tc>
              <w:tc>
                <w:tcPr>
                  <w:tcW w:type="dxa" w:w="250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提供至少一年整机保修服务；对设备软件应用提供长期免费技术支持（包括免费更新升级设备操作软件、软件维护等）；提供设备操作培训；提供线上远程以及现场售后服务；</w:t>
                  </w:r>
                  <w:r>
                    <w:rPr>
                      <w:rFonts w:ascii="仿宋_GB2312" w:hAnsi="仿宋_GB2312" w:cs="仿宋_GB2312" w:eastAsia="仿宋_GB2312"/>
                      <w:sz w:val="21"/>
                    </w:rPr>
                    <w:t>至少提供</w:t>
                  </w:r>
                  <w:r>
                    <w:rPr>
                      <w:rFonts w:ascii="仿宋_GB2312" w:hAnsi="仿宋_GB2312" w:cs="仿宋_GB2312" w:eastAsia="仿宋_GB2312"/>
                      <w:sz w:val="21"/>
                    </w:rPr>
                    <w:t>2份投标产品设备的客户装机案例</w:t>
                  </w:r>
                  <w:r>
                    <w:rPr>
                      <w:rFonts w:ascii="仿宋_GB2312" w:hAnsi="仿宋_GB2312" w:cs="仿宋_GB2312" w:eastAsia="仿宋_GB2312"/>
                      <w:sz w:val="21"/>
                    </w:rPr>
                    <w:t>。</w:t>
                  </w:r>
                </w:p>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签订合同后，设备到达指定地点安装调试完成并验收合格，最终结算时，乙方须向甲方出具合同总价款的增值税专用发票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2、培训内容及要求：培训2-5人次、每次培训不低于2小时，保证受训人员可以熟练操作设备和进行一般的故障排查。 3、成交供应商委派工程师进行上门安装；用户使用期内一次免费移机。 4、所有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西安曲江新区翠华南路1688号创意盒子13层04室第二会议室，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2023或2024和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资格证明文件2.docx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提供会计师事务所出具的2023或2024年度审计报告（须赋验证码），或递交响应文件截止之日前六个月内银行开具的资信证明，或信用担保机构出具的担保函（以上三种形式的资料提供任何一种即可）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或负责人）直接参加谈判的，须出具法定代表人（或负责人）身份证，并与营业执照上信息一致。法定代表人（或负责人）授权代表参加谈判的，须出具法定代表人（或负责人）授权书及授权代表身份证。</w:t>
            </w:r>
          </w:p>
        </w:tc>
        <w:tc>
          <w:tcPr>
            <w:tcW w:type="dxa" w:w="1661"/>
          </w:tcPr>
          <w:p>
            <w:pPr>
              <w:pStyle w:val="null3"/>
            </w:pPr>
            <w:r>
              <w:rPr>
                <w:rFonts w:ascii="仿宋_GB2312" w:hAnsi="仿宋_GB2312" w:cs="仿宋_GB2312" w:eastAsia="仿宋_GB2312"/>
              </w:rPr>
              <w:t>资格证明文件2.docx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产品使用寿命承诺函.docx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按谈判文件要求签署、盖章。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偏离</w:t>
            </w:r>
          </w:p>
        </w:tc>
        <w:tc>
          <w:tcPr>
            <w:tcW w:type="dxa" w:w="3322"/>
          </w:tcPr>
          <w:p>
            <w:pPr>
              <w:pStyle w:val="null3"/>
            </w:pPr>
            <w:r>
              <w:rPr>
                <w:rFonts w:ascii="仿宋_GB2312" w:hAnsi="仿宋_GB2312" w:cs="仿宋_GB2312" w:eastAsia="仿宋_GB2312"/>
              </w:rPr>
              <w:t>完全响应竞争性谈判文件要求的各项技术（服务）、商务条款。</w:t>
            </w:r>
          </w:p>
        </w:tc>
        <w:tc>
          <w:tcPr>
            <w:tcW w:type="dxa" w:w="1661"/>
          </w:tcPr>
          <w:p>
            <w:pPr>
              <w:pStyle w:val="null3"/>
            </w:pPr>
            <w:r>
              <w:rPr>
                <w:rFonts w:ascii="仿宋_GB2312" w:hAnsi="仿宋_GB2312" w:cs="仿宋_GB2312" w:eastAsia="仿宋_GB2312"/>
              </w:rPr>
              <w:t>商务条款（合同条款）偏离表.docx 技术偏离表.docx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有效期</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供应商报价未出现选择性报价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 xml:space="preserve"> 响应文件中未附加采购人难以接受的条件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详见附件：资格证明文件2.docx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