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版本号：ZJZC202506070120250616002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2025年高新、石鼓校区学生公寓粉刷项目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ZJZC2025060701</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2025年高新、石鼓校区学生公寓粉刷项目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ZJZC2025060701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2025年高新、石鼓校区学生公寓粉刷项目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学生公寓宿舍粉刷,部分宿舍暖气片粉刷银粉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采购包1（2025年高新、石鼓校区学生公寓粉刷项目）：属于专门面向中小企业采购。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2、资质要求：需提供建筑工程施工总承包三级及以上资质或建筑装修装饰三级及以上资质，且安全生产许可证合法有效。</w:t>
      </w:r>
    </w:p>
    <w:p>
      <w:pPr>
        <w:pStyle w:val="null3"/>
      </w:pPr>
      <w:r>
        <w:rPr>
          <w:rFonts w:ascii="仿宋_GB2312" w:hAnsi="仿宋_GB2312" w:cs="仿宋_GB2312" w:eastAsia="仿宋_GB2312"/>
        </w:rPr>
        <w:t>3、项目负责人资质：拟派项目经理具有建筑工程专业二级及以上注册建造师资格并具有安全生产考核合格B证，且未担任其他在建项目的必须是本单位的在职注册人员。</w:t>
      </w:r>
    </w:p>
    <w:p>
      <w:pPr>
        <w:pStyle w:val="null3"/>
      </w:pPr>
      <w:r>
        <w:rPr>
          <w:rFonts w:ascii="仿宋_GB2312" w:hAnsi="仿宋_GB2312" w:cs="仿宋_GB2312" w:eastAsia="仿宋_GB2312"/>
        </w:rPr>
        <w:t>4、法人代表授权书：供应商应授权合法的人员参加磋商，其中法定代表的，须出具法定代表人身份证。授权代表参加磋商的，须出具法定代表人授权书及授权代表身份证。</w:t>
      </w:r>
    </w:p>
    <w:p>
      <w:pPr>
        <w:pStyle w:val="null3"/>
      </w:pPr>
      <w:r>
        <w:rPr>
          <w:rFonts w:ascii="仿宋_GB2312" w:hAnsi="仿宋_GB2312" w:cs="仿宋_GB2312" w:eastAsia="仿宋_GB2312"/>
        </w:rPr>
        <w:t>5、财务状况：供应商提供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6、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7、社会保障资金缴纳证明：提供2024年6月（含6月）以后至少一个月的社会保障资金缴存单据或社保机构开具的社会保险参保缴费情况证明，依法不需要缴纳社会保障资金的供应商应提供相关文件证明。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9、履约能力承诺：提供具有履行本合同所必需的设备和专业技术能力的承诺。</w:t>
      </w:r>
    </w:p>
    <w:p>
      <w:pPr>
        <w:pStyle w:val="null3"/>
      </w:pPr>
      <w:r>
        <w:rPr>
          <w:rFonts w:ascii="仿宋_GB2312" w:hAnsi="仿宋_GB2312" w:cs="仿宋_GB2312" w:eastAsia="仿宋_GB2312"/>
        </w:rPr>
        <w:t>10、违法记录声明：提供参加政府采购活动前三年内在经营活动中没有重大违法记录的书面声明。</w:t>
      </w:r>
    </w:p>
    <w:p>
      <w:pPr>
        <w:pStyle w:val="null3"/>
      </w:pPr>
      <w:r>
        <w:rPr>
          <w:rFonts w:ascii="仿宋_GB2312" w:hAnsi="仿宋_GB2312" w:cs="仿宋_GB2312" w:eastAsia="仿宋_GB2312"/>
        </w:rPr>
        <w:t>11、外地企业备案：外地企业提供在“陕西省建筑市场监管与诚信信息一体化平台”上登记的基本信息界面截图；</w:t>
      </w:r>
    </w:p>
    <w:p>
      <w:pPr>
        <w:pStyle w:val="null3"/>
      </w:pPr>
      <w:r>
        <w:rPr>
          <w:rFonts w:ascii="仿宋_GB2312" w:hAnsi="仿宋_GB2312" w:cs="仿宋_GB2312" w:eastAsia="仿宋_GB2312"/>
        </w:rPr>
        <w:t>12、非联合体承诺：提供非联合体投标承诺书。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宝鸡文理学院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丁雪儿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17602914546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开户名称：中建华阳建设项目管理有限责任公司</w:t>
            </w:r>
          </w:p>
          <w:p>
            <w:pPr>
              <w:pStyle w:val="null3"/>
            </w:pPr>
            <w:r>
              <w:rPr>
                <w:rFonts w:ascii="仿宋_GB2312" w:hAnsi="仿宋_GB2312" w:cs="仿宋_GB2312" w:eastAsia="仿宋_GB2312"/>
              </w:rPr>
              <w:t>开户银行：中国建设银行西安金花路支行</w:t>
            </w:r>
          </w:p>
          <w:p>
            <w:pPr>
              <w:pStyle w:val="null3"/>
            </w:pPr>
            <w:r>
              <w:rPr>
                <w:rFonts w:ascii="仿宋_GB2312" w:hAnsi="仿宋_GB2312" w:cs="仿宋_GB2312" w:eastAsia="仿宋_GB2312"/>
              </w:rPr>
              <w:t>银行账号：61050186540009888888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 号）及发改办价格[2003]857 号文件的规定标准收取。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宝鸡文理学院</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工程质量验收按政府质量监督部门提供的现有的国家规定的验收标准执行，达到合格标准及以上</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联系人：丁雪儿</w:t>
      </w:r>
    </w:p>
    <w:p>
      <w:pPr>
        <w:pStyle w:val="null3"/>
      </w:pPr>
      <w:r>
        <w:rPr>
          <w:rFonts w:ascii="仿宋_GB2312" w:hAnsi="仿宋_GB2312" w:cs="仿宋_GB2312" w:eastAsia="仿宋_GB2312"/>
        </w:rPr>
        <w:t>联系电话：17602914546</w:t>
      </w:r>
    </w:p>
    <w:p>
      <w:pPr>
        <w:pStyle w:val="null3"/>
      </w:pPr>
      <w:r>
        <w:rPr>
          <w:rFonts w:ascii="仿宋_GB2312" w:hAnsi="仿宋_GB2312" w:cs="仿宋_GB2312" w:eastAsia="仿宋_GB2312"/>
        </w:rPr>
        <w:t>地址： 陕西省西安市新城区陕西省西安市新城区长乐中路242号金花新都汇A座写字楼24层06室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粉刷</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想</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标的名称：粉刷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b/>
              </w:rPr>
              <w:t>一、项目名称</w:t>
            </w:r>
          </w:p>
          <w:p>
            <w:pPr>
              <w:pStyle w:val="null3"/>
              <w:ind w:firstLine="640"/>
              <w:jc w:val="left"/>
            </w:pPr>
            <w:r>
              <w:rPr>
                <w:rFonts w:ascii="仿宋_GB2312" w:hAnsi="仿宋_GB2312" w:cs="仿宋_GB2312" w:eastAsia="仿宋_GB2312"/>
                <w:sz w:val="32"/>
              </w:rPr>
              <w:t>宝鸡文理学院高新、石鼓校区学生公寓粉刷项目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b/>
              </w:rPr>
              <w:t>二、项目类型、数量、清单</w:t>
            </w:r>
          </w:p>
          <w:tbl>
            <w:tblPr>
              <w:tblBorders>
                <w:top w:val="none" w:color="000000" w:sz="4"/>
                <w:left w:val="none" w:color="000000" w:sz="4"/>
                <w:bottom w:val="none" w:color="000000" w:sz="4"/>
                <w:right w:val="none" w:color="000000" w:sz="4"/>
                <w:insideH w:val="none"/>
                <w:insideV w:val="none"/>
              </w:tblBorders>
            </w:tblPr>
            <w:tblGrid>
              <w:gridCol w:w="332"/>
              <w:gridCol w:w="833"/>
              <w:gridCol w:w="280"/>
              <w:gridCol w:w="260"/>
              <w:gridCol w:w="841"/>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地点</w:t>
                  </w:r>
                </w:p>
              </w:tc>
              <w:tc>
                <w:tcPr>
                  <w:tcW w:type="dxa" w:w="8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项目名称</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工程量</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高新校区</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学生公寓</w:t>
                  </w:r>
                  <w:r>
                    <w:rPr>
                      <w:rFonts w:ascii="仿宋_GB2312" w:hAnsi="仿宋_GB2312" w:cs="仿宋_GB2312" w:eastAsia="仿宋_GB2312"/>
                      <w:sz w:val="24"/>
                    </w:rPr>
                    <w:t>宿舍</w:t>
                  </w:r>
                  <w:r>
                    <w:rPr>
                      <w:rFonts w:ascii="仿宋_GB2312" w:hAnsi="仿宋_GB2312" w:cs="仿宋_GB2312" w:eastAsia="仿宋_GB2312"/>
                      <w:sz w:val="24"/>
                    </w:rPr>
                    <w:t>粉刷项目</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间</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油漆限定</w:t>
                  </w:r>
                  <w:r>
                    <w:rPr>
                      <w:rFonts w:ascii="仿宋_GB2312" w:hAnsi="仿宋_GB2312" w:cs="仿宋_GB2312" w:eastAsia="仿宋_GB2312"/>
                      <w:sz w:val="24"/>
                    </w:rPr>
                    <w:t>：立邦、华润、永新、多乐士、三棵树</w:t>
                  </w:r>
                </w:p>
              </w:tc>
            </w:tr>
            <w:tr>
              <w:tc>
                <w:tcPr>
                  <w:tcW w:type="dxa" w:w="332"/>
                  <w:vMerge/>
                  <w:tcBorders>
                    <w:top w:val="none" w:color="000000" w:sz="4"/>
                    <w:left w:val="single" w:color="000000" w:sz="4"/>
                    <w:bottom w:val="single" w:color="000000" w:sz="4"/>
                    <w:right w:val="single" w:color="000000" w:sz="4"/>
                  </w:tcBorders>
                </w:tcP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1#服务楼3号公寓楼道粉刷</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1760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油漆限定</w:t>
                  </w:r>
                  <w:r>
                    <w:rPr>
                      <w:rFonts w:ascii="仿宋_GB2312" w:hAnsi="仿宋_GB2312" w:cs="仿宋_GB2312" w:eastAsia="仿宋_GB2312"/>
                      <w:sz w:val="24"/>
                    </w:rPr>
                    <w:t>：立邦、华润、永新、多乐士、三棵树</w:t>
                  </w:r>
                </w:p>
              </w:tc>
            </w:tr>
            <w:tr>
              <w:tc>
                <w:tcPr>
                  <w:tcW w:type="dxa" w:w="332"/>
                  <w:vMerge/>
                  <w:tcBorders>
                    <w:top w:val="none" w:color="000000" w:sz="4"/>
                    <w:left w:val="single" w:color="000000" w:sz="4"/>
                    <w:bottom w:val="single" w:color="000000" w:sz="4"/>
                    <w:right w:val="single" w:color="000000" w:sz="4"/>
                  </w:tcBorders>
                </w:tcP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毕业生宿舍阳台清洗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间</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阳台部分包括窗户、水池、卫生间便池等</w:t>
                  </w:r>
                </w:p>
              </w:tc>
            </w:tr>
            <w:tr>
              <w:tc>
                <w:tcPr>
                  <w:tcW w:type="dxa" w:w="332"/>
                  <w:vMerge/>
                  <w:tcBorders>
                    <w:top w:val="none" w:color="000000" w:sz="4"/>
                    <w:left w:val="single" w:color="000000" w:sz="4"/>
                    <w:bottom w:val="single" w:color="000000" w:sz="4"/>
                    <w:right w:val="single" w:color="000000" w:sz="4"/>
                  </w:tcBorders>
                </w:tcP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毕业生宿舍暖气片粉刷银粉</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828</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组</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粉刷银粉之前必须对暖气片及管道生锈的部分进行除锈</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石鼓校区</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学生公寓</w:t>
                  </w:r>
                  <w:r>
                    <w:rPr>
                      <w:rFonts w:ascii="仿宋_GB2312" w:hAnsi="仿宋_GB2312" w:cs="仿宋_GB2312" w:eastAsia="仿宋_GB2312"/>
                      <w:sz w:val="24"/>
                    </w:rPr>
                    <w:t>宿舍</w:t>
                  </w:r>
                  <w:r>
                    <w:rPr>
                      <w:rFonts w:ascii="仿宋_GB2312" w:hAnsi="仿宋_GB2312" w:cs="仿宋_GB2312" w:eastAsia="仿宋_GB2312"/>
                      <w:sz w:val="24"/>
                    </w:rPr>
                    <w:t>粉刷项目</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间</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油漆限定</w:t>
                  </w:r>
                  <w:r>
                    <w:rPr>
                      <w:rFonts w:ascii="仿宋_GB2312" w:hAnsi="仿宋_GB2312" w:cs="仿宋_GB2312" w:eastAsia="仿宋_GB2312"/>
                      <w:sz w:val="24"/>
                    </w:rPr>
                    <w:t>：立邦、华润、永新、多乐士、三棵树</w:t>
                  </w:r>
                </w:p>
              </w:tc>
            </w:tr>
            <w:tr>
              <w:tc>
                <w:tcPr>
                  <w:tcW w:type="dxa" w:w="332"/>
                  <w:vMerge/>
                  <w:tcBorders>
                    <w:top w:val="none" w:color="000000" w:sz="4"/>
                    <w:left w:val="single" w:color="000000" w:sz="4"/>
                    <w:bottom w:val="single" w:color="000000" w:sz="4"/>
                    <w:right w:val="single" w:color="000000" w:sz="4"/>
                  </w:tcBorders>
                </w:tcP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毕业生宿舍阳台清洗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间</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阳台部分包括窗户、水池、卫生间便池等</w:t>
                  </w:r>
                </w:p>
              </w:tc>
            </w:tr>
            <w:tr>
              <w:tc>
                <w:tcPr>
                  <w:tcW w:type="dxa" w:w="332"/>
                  <w:vMerge/>
                  <w:tcBorders>
                    <w:top w:val="none" w:color="000000" w:sz="4"/>
                    <w:left w:val="single" w:color="000000" w:sz="4"/>
                    <w:bottom w:val="single" w:color="000000" w:sz="4"/>
                    <w:right w:val="single" w:color="000000" w:sz="4"/>
                  </w:tcBorders>
                </w:tcP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毕业生宿舍暖气片粉刷银粉</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组</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粉刷银粉之前必须对暖气片及管道生锈的部分进行除锈</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221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宿舍粉刷</w:t>
                  </w:r>
                  <w:r>
                    <w:rPr>
                      <w:rFonts w:ascii="仿宋_GB2312" w:hAnsi="仿宋_GB2312" w:cs="仿宋_GB2312" w:eastAsia="仿宋_GB2312"/>
                      <w:sz w:val="24"/>
                    </w:rPr>
                    <w:t>93700</w:t>
                  </w:r>
                  <w:r>
                    <w:rPr>
                      <w:rFonts w:ascii="仿宋_GB2312" w:hAnsi="仿宋_GB2312" w:cs="仿宋_GB2312" w:eastAsia="仿宋_GB2312"/>
                      <w:sz w:val="24"/>
                    </w:rPr>
                    <w:t>㎡</w:t>
                  </w:r>
                  <w:r>
                    <w:rPr>
                      <w:rFonts w:ascii="仿宋_GB2312" w:hAnsi="仿宋_GB2312" w:cs="仿宋_GB2312" w:eastAsia="仿宋_GB2312"/>
                      <w:sz w:val="24"/>
                    </w:rPr>
                    <w:t>、暖气片粉刷</w:t>
                  </w:r>
                  <w:r>
                    <w:rPr>
                      <w:rFonts w:ascii="仿宋_GB2312" w:hAnsi="仿宋_GB2312" w:cs="仿宋_GB2312" w:eastAsia="仿宋_GB2312"/>
                      <w:sz w:val="24"/>
                    </w:rPr>
                    <w:t>1085组</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b/>
              </w:rPr>
              <w:t>三、技术参数：</w:t>
            </w:r>
          </w:p>
          <w:p>
            <w:pPr>
              <w:pStyle w:val="null3"/>
              <w:ind w:firstLine="640"/>
              <w:jc w:val="left"/>
            </w:pPr>
            <w:r>
              <w:rPr>
                <w:rFonts w:ascii="仿宋_GB2312" w:hAnsi="仿宋_GB2312" w:cs="仿宋_GB2312" w:eastAsia="仿宋_GB2312"/>
                <w:sz w:val="32"/>
              </w:rPr>
              <w:t>1.质量标准和技术要求：符合国家现行有关施工质量验收规范“合格”要求。</w:t>
            </w:r>
          </w:p>
          <w:p>
            <w:pPr>
              <w:pStyle w:val="null3"/>
              <w:ind w:firstLine="640"/>
              <w:jc w:val="left"/>
            </w:pPr>
            <w:r>
              <w:rPr>
                <w:rFonts w:ascii="仿宋_GB2312" w:hAnsi="仿宋_GB2312" w:cs="仿宋_GB2312" w:eastAsia="仿宋_GB2312"/>
                <w:sz w:val="32"/>
              </w:rPr>
              <w:t>2.本工程施工中所用材料须有产品生产许可证和出厂验收合格证等相关证书。</w:t>
            </w:r>
          </w:p>
          <w:p>
            <w:pPr>
              <w:pStyle w:val="null3"/>
              <w:ind w:firstLine="640"/>
              <w:jc w:val="left"/>
            </w:pPr>
            <w:r>
              <w:rPr>
                <w:rFonts w:ascii="仿宋_GB2312" w:hAnsi="仿宋_GB2312" w:cs="仿宋_GB2312" w:eastAsia="仿宋_GB2312"/>
                <w:sz w:val="32"/>
              </w:rPr>
              <w:t>3.乳胶漆涂饰工程应涂饰均匀，粘接牢固，不得漏涂、透底、起皮和反锈。</w:t>
            </w:r>
          </w:p>
          <w:p>
            <w:pPr>
              <w:pStyle w:val="null3"/>
              <w:ind w:firstLine="640"/>
              <w:jc w:val="left"/>
            </w:pPr>
            <w:r>
              <w:rPr>
                <w:rFonts w:ascii="仿宋_GB2312" w:hAnsi="仿宋_GB2312" w:cs="仿宋_GB2312" w:eastAsia="仿宋_GB2312"/>
                <w:sz w:val="32"/>
              </w:rPr>
              <w:t>4.基层腻子应平整、坚实、牢固、无粉化、起皮和裂缝，内墙腻子的粘接强度应符合《建筑室内腻子》（JG/T3049）的规定。</w:t>
            </w:r>
          </w:p>
          <w:p>
            <w:pPr>
              <w:pStyle w:val="null3"/>
              <w:ind w:firstLine="640"/>
              <w:jc w:val="left"/>
            </w:pPr>
            <w:r>
              <w:rPr>
                <w:rFonts w:ascii="仿宋_GB2312" w:hAnsi="仿宋_GB2312" w:cs="仿宋_GB2312" w:eastAsia="仿宋_GB2312"/>
                <w:sz w:val="32"/>
              </w:rPr>
              <w:t>5.乳胶漆涂饰质量依据《国家建筑装饰装修工程质量验收规范》GB50210—2001规范标准施工，严格按照标准和工艺流程施工，严把质量关，确保施工质量达到合格，符合验收标准。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b/>
              </w:rPr>
              <w:t>四、项目要求</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墙面局部污物铲除清理；</w:t>
            </w:r>
          </w:p>
          <w:p>
            <w:pPr>
              <w:pStyle w:val="null3"/>
              <w:ind w:firstLine="660"/>
              <w:jc w:val="left"/>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点补腻子两遍，打磨平整光滑；</w:t>
            </w:r>
          </w:p>
          <w:p>
            <w:pPr>
              <w:pStyle w:val="null3"/>
              <w:ind w:firstLine="660"/>
              <w:jc w:val="left"/>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涂乳胶漆两遍；（乳胶漆产品实物质量符合</w:t>
            </w:r>
            <w:r>
              <w:rPr>
                <w:rFonts w:ascii="仿宋_GB2312" w:hAnsi="仿宋_GB2312" w:cs="仿宋_GB2312" w:eastAsia="仿宋_GB2312"/>
                <w:sz w:val="32"/>
              </w:rPr>
              <w:t>GB/T9756-2009及GB18582-2008标准的要求）;</w:t>
            </w:r>
          </w:p>
          <w:p>
            <w:pPr>
              <w:pStyle w:val="null3"/>
              <w:ind w:firstLine="660"/>
              <w:jc w:val="left"/>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架子床带柜子移动恢复（双体），室内电器设施、蚊帐杆防护妥当，损坏部分照价赔偿；</w:t>
            </w:r>
          </w:p>
          <w:p>
            <w:pPr>
              <w:pStyle w:val="null3"/>
              <w:ind w:firstLine="660"/>
              <w:jc w:val="left"/>
            </w:pPr>
            <w:r>
              <w:rPr>
                <w:rFonts w:ascii="仿宋_GB2312" w:hAnsi="仿宋_GB2312" w:cs="仿宋_GB2312" w:eastAsia="仿宋_GB2312"/>
                <w:sz w:val="32"/>
              </w:rPr>
              <w:t>5.毕业生宿舍阳台清洁彻底干净，验收合格；</w:t>
            </w:r>
          </w:p>
          <w:p>
            <w:pPr>
              <w:pStyle w:val="null3"/>
              <w:ind w:firstLine="660"/>
              <w:jc w:val="left"/>
            </w:pPr>
            <w:r>
              <w:rPr>
                <w:rFonts w:ascii="仿宋_GB2312" w:hAnsi="仿宋_GB2312" w:cs="仿宋_GB2312" w:eastAsia="仿宋_GB2312"/>
                <w:sz w:val="32"/>
                <w:color w:val="FF0000"/>
              </w:rPr>
              <w:t>6.学生宿舍粉刷银粉之前必须对暖气片及管道生锈的部分进行除锈；</w:t>
            </w:r>
          </w:p>
          <w:p>
            <w:pPr>
              <w:pStyle w:val="null3"/>
              <w:ind w:firstLine="660"/>
              <w:jc w:val="left"/>
            </w:pPr>
            <w:r>
              <w:rPr>
                <w:rFonts w:ascii="仿宋_GB2312" w:hAnsi="仿宋_GB2312" w:cs="仿宋_GB2312" w:eastAsia="仿宋_GB2312"/>
                <w:sz w:val="32"/>
              </w:rPr>
              <w:t>7.</w:t>
            </w:r>
            <w:r>
              <w:rPr>
                <w:rFonts w:ascii="仿宋_GB2312" w:hAnsi="仿宋_GB2312" w:cs="仿宋_GB2312" w:eastAsia="仿宋_GB2312"/>
                <w:sz w:val="32"/>
              </w:rPr>
              <w:t>完工后打扫施工区域</w:t>
            </w:r>
            <w:r>
              <w:rPr>
                <w:rFonts w:ascii="仿宋_GB2312" w:hAnsi="仿宋_GB2312" w:cs="仿宋_GB2312" w:eastAsia="仿宋_GB2312"/>
                <w:sz w:val="32"/>
              </w:rPr>
              <w:t>，</w:t>
            </w:r>
            <w:r>
              <w:rPr>
                <w:rFonts w:ascii="仿宋_GB2312" w:hAnsi="仿宋_GB2312" w:cs="仿宋_GB2312" w:eastAsia="仿宋_GB2312"/>
                <w:sz w:val="32"/>
              </w:rPr>
              <w:t>保证干净整洁</w:t>
            </w:r>
            <w:r>
              <w:rPr>
                <w:rFonts w:ascii="仿宋_GB2312" w:hAnsi="仿宋_GB2312" w:cs="仿宋_GB2312" w:eastAsia="仿宋_GB2312"/>
                <w:sz w:val="3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需提供建筑工程施工总承包三级及以上资质或建筑装修装饰三级及以上资质，且安全生产许可证合法有效。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拟派项目经理具有建筑工程专业二级及以上注册建造师资格并具有安全生产考核合格B证，且未担任其他在建项目的必须是本单位的在职注册人员。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供应商应授权合法的人员参加磋商，其中法定代表的，须出具法定代表人身份证。授权代表参加磋商的，须出具法定代表人授权书及授权代表身份证。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中小企业声明函 项目的施工方案.docx 资格证明文件..docx 技术服务合同条款及其他商务要求应答表 施工质量保证措施.docx 质量保证.docx 响应文件封面 施工进度及工期保障措施.docx 分项报价表.docx 应急处理方案.docx 保修方案.docx 拟投入本项目的设备、机械、工具等.docx 残疾人福利性单位声明函 报价函 标的清单 供应商类似项目业绩一览表 新技术、新产品、新工艺、新材料应用.docx 项目经理部人员组成的情况.docx 响应函 垃圾清运方案.docx 监狱企业的证明文件 确保安全、文明施工的技术组织措施.docx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中小企业声明函 资格证明文件..docx 项目的施工方案.docx 技术服务合同条款及其他商务要求应答表 施工质量保证措施.docx 质量保证.docx 响应文件封面 施工进度及工期保障措施.docx 分项报价表.docx 应急处理方案.docx 保修方案.docx 拟投入本项目的设备、机械、工具等.docx 残疾人福利性单位声明函 报价函 标的清单 供应商类似项目业绩一览表 新技术、新产品、新工艺、新材料应用.docx 项目经理部人员组成的情况.docx 响应函 垃圾清运方案.docx 监狱企业的证明文件 确保安全、文明施工的技术组织措施.docx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中小企业声明函 资格证明文件..docx 项目的施工方案.docx 技术服务合同条款及其他商务要求应答表 施工质量保证措施.docx 质量保证.docx 响应文件封面 施工进度及工期保障措施.docx 分项报价表.docx 应急处理方案.docx 保修方案.docx 拟投入本项目的设备、机械、工具等.docx 残疾人福利性单位声明函 报价函 标的清单 供应商类似项目业绩一览表 新技术、新产品、新工艺、新材料应用.docx 项目经理部人员组成的情况.docx 响应函 垃圾清运方案.docx 监狱企业的证明文件 确保安全、文明施工的技术组织措施.docx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分部分项工程概况、施工平面布置、施工要求和技术保证条件，重点难点分析及处理措施。根据方案完整程度赋分。内容完整、科学、合理、针对性强计6.1-8分；基本满足施工要求计4.1-6分；方案较差计2-4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项目的施工方案.docx</w:t>
            </w:r>
          </w:p>
        </w:tc>
      </w:tr>
      <w:tr>
        <w:tc>
          <w:tcPr>
            <w:tcW w:type="dxa" w:w="831"/>
            <w:vMerge/>
          </w:tcPr>
          <w:p/>
        </w:tc>
        <w:tc>
          <w:tcPr>
            <w:tcW w:type="dxa" w:w="1661"/>
          </w:tcPr>
          <w:p>
            <w:pPr>
              <w:pStyle w:val="null3"/>
            </w:pPr>
            <w:r>
              <w:rPr>
                <w:rFonts w:ascii="仿宋_GB2312" w:hAnsi="仿宋_GB2312" w:cs="仿宋_GB2312" w:eastAsia="仿宋_GB2312"/>
              </w:rPr>
              <w:t>施工进度及工期保障措施</w:t>
            </w:r>
          </w:p>
        </w:tc>
        <w:tc>
          <w:tcPr>
            <w:tcW w:type="dxa" w:w="2492"/>
          </w:tcPr>
          <w:p>
            <w:pPr>
              <w:pStyle w:val="null3"/>
            </w:pPr>
            <w:r>
              <w:rPr>
                <w:rFonts w:ascii="仿宋_GB2312" w:hAnsi="仿宋_GB2312" w:cs="仿宋_GB2312" w:eastAsia="仿宋_GB2312"/>
              </w:rPr>
              <w:t>提供全面的进度安排、分析关键节点、确保进度、保证工期的的技术组织措施（包括施工进度表或施工网络图），根据完整程度赋分。内容完整、科学、合理、针对性强计6.1-8分；基本满足施工要求计4.1-6分；方案较差计2-4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施工进度及工期保障措施.docx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制定切实可行的总体质量控制目标及分阶段施工的重点难点目标，且对质量控制目标进行合理分解、规划，给出有针对性分段施工方案及其编制依据，确保本项目质量标准符合该项目质量要求。内容完备、科学、合理、针对性强计6.1-8分；基本满足施工要求计4.1-6分；方案较差计2-4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结合工程环境、特点分析安全隐患，给出有针对性的安全施工管理制度、文明施工、环保施工、防尘降噪等保证防护措施。内容完备、科学、合理、针对性强计5.1-6分；基本满足施工要求计4.1-5分；方案较差计2-4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确保安全、文明施工的技术组织措施.docx</w:t>
            </w:r>
          </w:p>
        </w:tc>
      </w:tr>
      <w:tr>
        <w:tc>
          <w:tcPr>
            <w:tcW w:type="dxa" w:w="831"/>
            <w:vMerge/>
          </w:tcPr>
          <w:p/>
        </w:tc>
        <w:tc>
          <w:tcPr>
            <w:tcW w:type="dxa" w:w="1661"/>
          </w:tcPr>
          <w:p>
            <w:pPr>
              <w:pStyle w:val="null3"/>
            </w:pPr>
            <w:r>
              <w:rPr>
                <w:rFonts w:ascii="仿宋_GB2312" w:hAnsi="仿宋_GB2312" w:cs="仿宋_GB2312" w:eastAsia="仿宋_GB2312"/>
              </w:rPr>
              <w:t>拟投入本项目的设备、机械、工具等</w:t>
            </w:r>
          </w:p>
        </w:tc>
        <w:tc>
          <w:tcPr>
            <w:tcW w:type="dxa" w:w="2492"/>
          </w:tcPr>
          <w:p>
            <w:pPr>
              <w:pStyle w:val="null3"/>
            </w:pPr>
            <w:r>
              <w:rPr>
                <w:rFonts w:ascii="仿宋_GB2312" w:hAnsi="仿宋_GB2312" w:cs="仿宋_GB2312" w:eastAsia="仿宋_GB2312"/>
              </w:rPr>
              <w:t>配备齐全、针对性强计3.1-5分；配备较差计1-3分，未提供不计分。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拟投入本项目的设备、机械、工具等.docx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针对突发事件的应急处理方案，提供相应的预案或保证措施计1-5分，未提供不计分。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应急处理方案.docx</w:t>
            </w:r>
          </w:p>
        </w:tc>
      </w:tr>
      <w:tr>
        <w:tc>
          <w:tcPr>
            <w:tcW w:type="dxa" w:w="831"/>
            <w:vMerge/>
          </w:tcPr>
          <w:p/>
        </w:tc>
        <w:tc>
          <w:tcPr>
            <w:tcW w:type="dxa" w:w="1661"/>
          </w:tcPr>
          <w:p>
            <w:pPr>
              <w:pStyle w:val="null3"/>
            </w:pPr>
            <w:r>
              <w:rPr>
                <w:rFonts w:ascii="仿宋_GB2312" w:hAnsi="仿宋_GB2312" w:cs="仿宋_GB2312" w:eastAsia="仿宋_GB2312"/>
              </w:rPr>
              <w:t>项目经理部人员组成的情况</w:t>
            </w:r>
          </w:p>
        </w:tc>
        <w:tc>
          <w:tcPr>
            <w:tcW w:type="dxa" w:w="2492"/>
          </w:tcPr>
          <w:p>
            <w:pPr>
              <w:pStyle w:val="null3"/>
            </w:pPr>
            <w:r>
              <w:rPr>
                <w:rFonts w:ascii="仿宋_GB2312" w:hAnsi="仿宋_GB2312" w:cs="仿宋_GB2312" w:eastAsia="仿宋_GB2312"/>
              </w:rPr>
              <w:t>岗位、专业、分工、专职安全生产管理人员、 作业人员等，配置合理、针对性强计4.1-5分，基本满足要求计2.1-4分；配置较差计1-2分，未提供不计分。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项目经理部人员组成的情况.docx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根据施工工艺技术、技术参数、工艺流程、施工方法计1-5分，未提供不计分。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新技术、新产品、新工艺、新材料应用.docx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根据本项目提供的主材清单（清单内容包括但不限于材料名称、品牌、规格、材质等）及其检测报告、合格证、环保标准等证明材料进行比较，计2-5分，未提供不计分。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根据供应商提供保修方案进行综合对比，内容完备、科学、合理、针对性强计4.1-5分；基本满足施工要求计2.1-4分；方案较差计1-2分，未提供不计分。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根据提供的2022年1月1日至今同类项目合同，（以合同签订日期为准，仅限供应商，提供完整合同）进行评定，每份计2分，最高计10分。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详见附件：项目的施工方案.docx</w:t>
      </w:r>
    </w:p>
    <w:p>
      <w:pPr>
        <w:pStyle w:val="null3"/>
        <w:ind w:firstLine="960"/>
      </w:pPr>
      <w:r>
        <w:rPr>
          <w:rFonts w:ascii="仿宋_GB2312" w:hAnsi="仿宋_GB2312" w:cs="仿宋_GB2312" w:eastAsia="仿宋_GB2312"/>
        </w:rPr>
        <w:t>详见附件：施工进度及工期保障措施.docx</w:t>
      </w:r>
    </w:p>
    <w:p>
      <w:pPr>
        <w:pStyle w:val="null3"/>
        <w:ind w:firstLine="960"/>
      </w:pPr>
      <w:r>
        <w:rPr>
          <w:rFonts w:ascii="仿宋_GB2312" w:hAnsi="仿宋_GB2312" w:cs="仿宋_GB2312" w:eastAsia="仿宋_GB2312"/>
        </w:rPr>
        <w:t>详见附件：施工质量保证措施.docx</w:t>
      </w:r>
    </w:p>
    <w:p>
      <w:pPr>
        <w:pStyle w:val="null3"/>
        <w:ind w:firstLine="960"/>
      </w:pPr>
      <w:r>
        <w:rPr>
          <w:rFonts w:ascii="仿宋_GB2312" w:hAnsi="仿宋_GB2312" w:cs="仿宋_GB2312" w:eastAsia="仿宋_GB2312"/>
        </w:rPr>
        <w:t>详见附件：确保安全、文明施工的技术组织措施.docx</w:t>
      </w:r>
    </w:p>
    <w:p>
      <w:pPr>
        <w:pStyle w:val="null3"/>
        <w:ind w:firstLine="960"/>
      </w:pPr>
      <w:r>
        <w:rPr>
          <w:rFonts w:ascii="仿宋_GB2312" w:hAnsi="仿宋_GB2312" w:cs="仿宋_GB2312" w:eastAsia="仿宋_GB2312"/>
        </w:rPr>
        <w:t>详见附件：拟投入本项目的设备、机械、工具等.docx</w:t>
      </w:r>
    </w:p>
    <w:p>
      <w:pPr>
        <w:pStyle w:val="null3"/>
        <w:ind w:firstLine="960"/>
      </w:pPr>
      <w:r>
        <w:rPr>
          <w:rFonts w:ascii="仿宋_GB2312" w:hAnsi="仿宋_GB2312" w:cs="仿宋_GB2312" w:eastAsia="仿宋_GB2312"/>
        </w:rPr>
        <w:t>详见附件：应急处理方案.docx</w:t>
      </w:r>
    </w:p>
    <w:p>
      <w:pPr>
        <w:pStyle w:val="null3"/>
        <w:ind w:firstLine="960"/>
      </w:pPr>
      <w:r>
        <w:rPr>
          <w:rFonts w:ascii="仿宋_GB2312" w:hAnsi="仿宋_GB2312" w:cs="仿宋_GB2312" w:eastAsia="仿宋_GB2312"/>
        </w:rPr>
        <w:t>详见附件：项目经理部人员组成的情况.docx</w:t>
      </w:r>
    </w:p>
    <w:p>
      <w:pPr>
        <w:pStyle w:val="null3"/>
        <w:ind w:firstLine="960"/>
      </w:pPr>
      <w:r>
        <w:rPr>
          <w:rFonts w:ascii="仿宋_GB2312" w:hAnsi="仿宋_GB2312" w:cs="仿宋_GB2312" w:eastAsia="仿宋_GB2312"/>
        </w:rPr>
        <w:t>详见附件：新技术、新产品、新工艺、新材料应用.docx</w:t>
      </w:r>
    </w:p>
    <w:p>
      <w:pPr>
        <w:pStyle w:val="null3"/>
        <w:ind w:firstLine="960"/>
      </w:pPr>
      <w:r>
        <w:rPr>
          <w:rFonts w:ascii="仿宋_GB2312" w:hAnsi="仿宋_GB2312" w:cs="仿宋_GB2312" w:eastAsia="仿宋_GB2312"/>
        </w:rPr>
        <w:t>详见附件：垃圾清运方案.docx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