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6BFDC3">
      <w:pPr>
        <w:spacing w:before="624" w:beforeLines="200" w:after="624" w:afterLines="200"/>
        <w:rPr>
          <w:rFonts w:hint="eastAsia" w:ascii="宋体" w:hAnsi="宋体"/>
          <w:color w:val="auto"/>
          <w:sz w:val="36"/>
          <w:highlight w:val="none"/>
        </w:rPr>
      </w:pPr>
      <w:r>
        <w:rPr>
          <w:rFonts w:hint="eastAsia" w:ascii="宋体" w:hAnsi="宋体"/>
          <w:color w:val="auto"/>
          <w:sz w:val="36"/>
          <w:highlight w:val="none"/>
        </w:rPr>
        <w:t xml:space="preserve">政府采购项目                          </w:t>
      </w:r>
      <w:r>
        <w:rPr>
          <w:rFonts w:hint="eastAsia" w:ascii="宋体" w:hAnsi="宋体"/>
          <w:color w:val="auto"/>
          <w:sz w:val="36"/>
          <w:highlight w:val="none"/>
          <w:bdr w:val="single" w:color="auto" w:sz="4" w:space="0"/>
        </w:rPr>
        <w:t>竞争性磋商</w:t>
      </w:r>
    </w:p>
    <w:p w14:paraId="06211244">
      <w:pPr>
        <w:spacing w:before="624" w:beforeLines="200" w:after="624" w:afterLines="200"/>
        <w:jc w:val="center"/>
        <w:rPr>
          <w:rFonts w:hint="eastAsia" w:ascii="宋体" w:hAnsi="宋体"/>
          <w:b/>
          <w:bCs/>
          <w:color w:val="auto"/>
          <w:sz w:val="52"/>
          <w:highlight w:val="none"/>
        </w:rPr>
      </w:pPr>
    </w:p>
    <w:p w14:paraId="6EDCF9E9">
      <w:pPr>
        <w:spacing w:before="624" w:beforeLines="200" w:after="624" w:afterLines="200"/>
        <w:jc w:val="center"/>
        <w:rPr>
          <w:rFonts w:hint="eastAsia" w:ascii="宋体" w:hAnsi="宋体"/>
          <w:b/>
          <w:bCs/>
          <w:color w:val="auto"/>
          <w:sz w:val="52"/>
          <w:highlight w:val="none"/>
        </w:rPr>
      </w:pPr>
      <w:r>
        <w:rPr>
          <w:rFonts w:hint="eastAsia" w:ascii="宋体" w:hAnsi="宋体"/>
          <w:b/>
          <w:bCs/>
          <w:color w:val="auto"/>
          <w:sz w:val="52"/>
          <w:highlight w:val="none"/>
        </w:rPr>
        <w:t>施工合同</w:t>
      </w:r>
    </w:p>
    <w:p w14:paraId="173598B5">
      <w:pPr>
        <w:jc w:val="center"/>
        <w:rPr>
          <w:rFonts w:hint="eastAsia" w:ascii="宋体" w:hAnsi="宋体"/>
          <w:color w:val="auto"/>
          <w:sz w:val="30"/>
          <w:szCs w:val="30"/>
          <w:highlight w:val="none"/>
        </w:rPr>
      </w:pPr>
      <w:r>
        <w:rPr>
          <w:rFonts w:hint="eastAsia" w:ascii="宋体" w:hAnsi="宋体"/>
          <w:color w:val="auto"/>
          <w:sz w:val="30"/>
          <w:szCs w:val="30"/>
          <w:highlight w:val="none"/>
        </w:rPr>
        <w:t>（</w:t>
      </w:r>
      <w:r>
        <w:rPr>
          <w:rFonts w:hint="eastAsia" w:ascii="宋体" w:hAnsi="宋体"/>
          <w:color w:val="auto"/>
          <w:sz w:val="30"/>
          <w:szCs w:val="30"/>
          <w:highlight w:val="none"/>
          <w:lang w:val="en-US" w:eastAsia="zh-CN"/>
        </w:rPr>
        <w:t>项目</w:t>
      </w:r>
      <w:r>
        <w:rPr>
          <w:rFonts w:hint="eastAsia" w:ascii="宋体" w:hAnsi="宋体"/>
          <w:color w:val="auto"/>
          <w:sz w:val="30"/>
          <w:szCs w:val="30"/>
          <w:highlight w:val="none"/>
        </w:rPr>
        <w:t>编号：）</w:t>
      </w:r>
    </w:p>
    <w:p w14:paraId="20AF6EF5">
      <w:pPr>
        <w:spacing w:before="624" w:beforeLines="200" w:after="624" w:afterLines="200"/>
        <w:ind w:firstLine="1928" w:firstLineChars="600"/>
        <w:rPr>
          <w:rFonts w:hint="eastAsia" w:ascii="宋体" w:hAnsi="宋体"/>
          <w:b/>
          <w:color w:val="auto"/>
          <w:sz w:val="32"/>
          <w:szCs w:val="32"/>
          <w:highlight w:val="none"/>
        </w:rPr>
      </w:pPr>
      <w:r>
        <w:rPr>
          <w:rFonts w:hint="eastAsia" w:ascii="宋体" w:hAnsi="宋体"/>
          <w:b/>
          <w:color w:val="auto"/>
          <w:sz w:val="32"/>
          <w:szCs w:val="32"/>
          <w:highlight w:val="none"/>
        </w:rPr>
        <w:t xml:space="preserve">      </w:t>
      </w:r>
    </w:p>
    <w:p w14:paraId="7DFC69D7">
      <w:pPr>
        <w:spacing w:before="624" w:beforeLines="200" w:after="624" w:afterLines="200"/>
        <w:ind w:firstLine="964" w:firstLineChars="300"/>
        <w:rPr>
          <w:rFonts w:hint="eastAsia" w:ascii="宋体" w:hAnsi="宋体"/>
          <w:b/>
          <w:color w:val="auto"/>
          <w:sz w:val="32"/>
          <w:szCs w:val="32"/>
          <w:highlight w:val="none"/>
        </w:rPr>
      </w:pPr>
      <w:r>
        <w:rPr>
          <w:rFonts w:hint="eastAsia" w:ascii="宋体" w:hAnsi="宋体"/>
          <w:b/>
          <w:color w:val="auto"/>
          <w:sz w:val="32"/>
          <w:szCs w:val="32"/>
          <w:highlight w:val="none"/>
        </w:rPr>
        <w:t xml:space="preserve">              </w:t>
      </w:r>
    </w:p>
    <w:p w14:paraId="754AD221">
      <w:pPr>
        <w:spacing w:before="624" w:beforeLines="200" w:after="624" w:afterLines="200"/>
        <w:ind w:firstLine="960" w:firstLineChars="300"/>
        <w:rPr>
          <w:rFonts w:hint="eastAsia" w:ascii="宋体" w:hAnsi="宋体"/>
          <w:color w:val="auto"/>
          <w:sz w:val="32"/>
          <w:szCs w:val="32"/>
          <w:highlight w:val="none"/>
        </w:rPr>
      </w:pPr>
    </w:p>
    <w:p w14:paraId="3134758C">
      <w:pPr>
        <w:ind w:firstLine="2124" w:firstLineChars="664"/>
        <w:rPr>
          <w:rFonts w:hint="eastAsia" w:ascii="宋体" w:hAnsi="宋体"/>
          <w:color w:val="auto"/>
          <w:sz w:val="32"/>
          <w:szCs w:val="32"/>
          <w:highlight w:val="none"/>
        </w:rPr>
      </w:pPr>
      <w:r>
        <w:rPr>
          <w:rFonts w:hint="eastAsia" w:ascii="宋体" w:hAnsi="宋体"/>
          <w:color w:val="auto"/>
          <w:sz w:val="32"/>
          <w:szCs w:val="32"/>
          <w:highlight w:val="none"/>
        </w:rPr>
        <w:t xml:space="preserve">甲  方： </w:t>
      </w:r>
    </w:p>
    <w:p w14:paraId="09F40986">
      <w:pPr>
        <w:tabs>
          <w:tab w:val="left" w:pos="480"/>
        </w:tabs>
        <w:ind w:firstLine="2124" w:firstLineChars="664"/>
        <w:rPr>
          <w:rFonts w:hint="eastAsia" w:ascii="宋体" w:hAnsi="宋体"/>
          <w:color w:val="auto"/>
          <w:sz w:val="32"/>
          <w:szCs w:val="32"/>
          <w:highlight w:val="none"/>
        </w:rPr>
      </w:pPr>
      <w:r>
        <w:rPr>
          <w:rFonts w:hint="eastAsia" w:ascii="宋体" w:hAnsi="宋体"/>
          <w:color w:val="auto"/>
          <w:sz w:val="32"/>
          <w:szCs w:val="32"/>
          <w:highlight w:val="none"/>
        </w:rPr>
        <w:t>乙  方：</w:t>
      </w:r>
    </w:p>
    <w:p w14:paraId="28D1B1AD">
      <w:pPr>
        <w:jc w:val="center"/>
        <w:rPr>
          <w:rFonts w:hint="eastAsia" w:ascii="宋体" w:hAnsi="宋体"/>
          <w:color w:val="auto"/>
          <w:sz w:val="30"/>
          <w:szCs w:val="30"/>
          <w:highlight w:val="none"/>
        </w:rPr>
      </w:pPr>
    </w:p>
    <w:p w14:paraId="72A315AA">
      <w:pPr>
        <w:jc w:val="center"/>
        <w:rPr>
          <w:rFonts w:hint="eastAsia" w:ascii="宋体" w:hAnsi="宋体"/>
          <w:color w:val="auto"/>
          <w:sz w:val="32"/>
          <w:szCs w:val="32"/>
          <w:highlight w:val="none"/>
        </w:rPr>
      </w:pPr>
      <w:r>
        <w:rPr>
          <w:rFonts w:hint="eastAsia" w:ascii="宋体" w:hAnsi="宋体"/>
          <w:color w:val="auto"/>
          <w:sz w:val="32"/>
          <w:szCs w:val="32"/>
          <w:highlight w:val="none"/>
        </w:rPr>
        <w:t>202</w:t>
      </w:r>
      <w:r>
        <w:rPr>
          <w:rFonts w:hint="eastAsia" w:ascii="宋体" w:hAnsi="宋体"/>
          <w:color w:val="auto"/>
          <w:sz w:val="32"/>
          <w:szCs w:val="32"/>
          <w:highlight w:val="none"/>
          <w:lang w:val="en-US" w:eastAsia="zh-CN"/>
        </w:rPr>
        <w:t>4</w:t>
      </w:r>
      <w:r>
        <w:rPr>
          <w:rFonts w:hint="eastAsia" w:ascii="宋体" w:hAnsi="宋体"/>
          <w:color w:val="auto"/>
          <w:sz w:val="32"/>
          <w:szCs w:val="32"/>
          <w:highlight w:val="none"/>
        </w:rPr>
        <w:t>年</w:t>
      </w:r>
      <w:r>
        <w:rPr>
          <w:rFonts w:hint="eastAsia" w:ascii="宋体" w:hAnsi="宋体"/>
          <w:color w:val="auto"/>
          <w:sz w:val="32"/>
          <w:szCs w:val="32"/>
          <w:highlight w:val="none"/>
          <w:lang w:val="en-US" w:eastAsia="zh-CN"/>
        </w:rPr>
        <w:t xml:space="preserve"> </w:t>
      </w:r>
      <w:r>
        <w:rPr>
          <w:rFonts w:hint="eastAsia" w:ascii="宋体" w:hAnsi="宋体"/>
          <w:color w:val="auto"/>
          <w:sz w:val="32"/>
          <w:szCs w:val="32"/>
          <w:highlight w:val="none"/>
        </w:rPr>
        <w:t>月</w:t>
      </w:r>
    </w:p>
    <w:p w14:paraId="3D3E9BD3">
      <w:pPr>
        <w:jc w:val="center"/>
        <w:rPr>
          <w:rFonts w:hint="default" w:ascii="宋体" w:hAnsi="宋体" w:eastAsia="宋体"/>
          <w:color w:val="auto"/>
          <w:sz w:val="32"/>
          <w:szCs w:val="32"/>
          <w:highlight w:val="none"/>
          <w:lang w:val="en-US" w:eastAsia="zh-CN"/>
        </w:rPr>
      </w:pPr>
      <w:r>
        <w:rPr>
          <w:rFonts w:hint="eastAsia" w:ascii="宋体" w:hAnsi="宋体"/>
          <w:color w:val="auto"/>
          <w:sz w:val="32"/>
          <w:szCs w:val="32"/>
          <w:highlight w:val="none"/>
        </w:rPr>
        <w:t>中国  西安</w:t>
      </w:r>
      <w:r>
        <w:rPr>
          <w:rFonts w:hint="eastAsia" w:ascii="宋体" w:hAnsi="宋体"/>
          <w:color w:val="auto"/>
          <w:sz w:val="32"/>
          <w:szCs w:val="32"/>
          <w:highlight w:val="none"/>
          <w:lang w:val="en-US" w:eastAsia="zh-CN"/>
        </w:rPr>
        <w:t xml:space="preserve">   </w:t>
      </w:r>
    </w:p>
    <w:p w14:paraId="1E2C7334">
      <w:pPr>
        <w:jc w:val="center"/>
        <w:rPr>
          <w:rFonts w:hint="eastAsia" w:ascii="宋体" w:hAnsi="宋体"/>
          <w:b/>
          <w:bCs/>
          <w:color w:val="auto"/>
          <w:sz w:val="32"/>
          <w:szCs w:val="32"/>
          <w:highlight w:val="none"/>
        </w:rPr>
      </w:pPr>
    </w:p>
    <w:p w14:paraId="1BEBE857">
      <w:pPr>
        <w:rPr>
          <w:rFonts w:hint="eastAsia" w:ascii="宋体" w:hAnsi="宋体"/>
          <w:b/>
          <w:bCs/>
          <w:color w:val="auto"/>
          <w:sz w:val="32"/>
          <w:szCs w:val="32"/>
          <w:highlight w:val="none"/>
        </w:rPr>
      </w:pPr>
      <w:r>
        <w:rPr>
          <w:rFonts w:hint="eastAsia" w:ascii="宋体" w:hAnsi="宋体"/>
          <w:b/>
          <w:bCs/>
          <w:color w:val="auto"/>
          <w:sz w:val="32"/>
          <w:szCs w:val="32"/>
          <w:highlight w:val="none"/>
        </w:rPr>
        <w:br w:type="page"/>
      </w:r>
    </w:p>
    <w:p w14:paraId="4D706D9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工程建设施工合同</w:t>
      </w:r>
    </w:p>
    <w:p w14:paraId="7B2D2D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甲方</w:t>
      </w:r>
      <w:r>
        <w:rPr>
          <w:rFonts w:hint="eastAsia" w:asciiTheme="minorEastAsia" w:hAnsiTheme="minorEastAsia" w:eastAsiaTheme="minorEastAsia" w:cstheme="minorEastAsia"/>
          <w:b/>
          <w:color w:val="auto"/>
          <w:sz w:val="24"/>
          <w:szCs w:val="24"/>
          <w:highlight w:val="none"/>
        </w:rPr>
        <w:t>（采购人名称全称）</w:t>
      </w:r>
      <w:r>
        <w:rPr>
          <w:rFonts w:hint="eastAsia" w:asciiTheme="minorEastAsia" w:hAnsiTheme="minorEastAsia" w:eastAsiaTheme="minorEastAsia" w:cstheme="minorEastAsia"/>
          <w:color w:val="auto"/>
          <w:sz w:val="24"/>
          <w:szCs w:val="24"/>
          <w:highlight w:val="none"/>
        </w:rPr>
        <w:t>：</w:t>
      </w:r>
    </w:p>
    <w:p w14:paraId="5365A1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乙方</w:t>
      </w:r>
      <w:r>
        <w:rPr>
          <w:rFonts w:hint="eastAsia" w:asciiTheme="minorEastAsia" w:hAnsiTheme="minorEastAsia" w:eastAsiaTheme="minorEastAsia" w:cstheme="minorEastAsia"/>
          <w:b/>
          <w:color w:val="auto"/>
          <w:sz w:val="24"/>
          <w:szCs w:val="24"/>
          <w:highlight w:val="none"/>
        </w:rPr>
        <w:t>（供应商名称全称）</w:t>
      </w:r>
      <w:r>
        <w:rPr>
          <w:rFonts w:hint="eastAsia" w:asciiTheme="minorEastAsia" w:hAnsiTheme="minorEastAsia" w:eastAsiaTheme="minorEastAsia" w:cstheme="minorEastAsia"/>
          <w:color w:val="auto"/>
          <w:sz w:val="24"/>
          <w:szCs w:val="24"/>
          <w:highlight w:val="none"/>
        </w:rPr>
        <w:t>：</w:t>
      </w:r>
    </w:p>
    <w:p w14:paraId="004B669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本</w:t>
      </w:r>
      <w:r>
        <w:rPr>
          <w:rFonts w:hint="eastAsia" w:asciiTheme="minorEastAsia" w:hAnsiTheme="minorEastAsia" w:eastAsiaTheme="minorEastAsia" w:cstheme="minorEastAsia"/>
          <w:color w:val="auto"/>
          <w:sz w:val="24"/>
          <w:szCs w:val="24"/>
          <w:highlight w:val="none"/>
        </w:rPr>
        <w:t>工程项目，在</w:t>
      </w:r>
      <w:r>
        <w:rPr>
          <w:rFonts w:hint="eastAsia" w:asciiTheme="minorEastAsia" w:hAnsiTheme="minorEastAsia" w:eastAsiaTheme="minorEastAsia" w:cstheme="minorEastAsia"/>
          <w:color w:val="auto"/>
          <w:sz w:val="24"/>
          <w:szCs w:val="24"/>
          <w:highlight w:val="none"/>
          <w:lang w:val="en-US" w:eastAsia="zh-CN"/>
        </w:rPr>
        <w:t>陕西省财政厅</w:t>
      </w:r>
      <w:r>
        <w:rPr>
          <w:rFonts w:hint="eastAsia" w:asciiTheme="minorEastAsia" w:hAnsiTheme="minorEastAsia" w:eastAsiaTheme="minorEastAsia" w:cstheme="minorEastAsia"/>
          <w:color w:val="auto"/>
          <w:sz w:val="24"/>
          <w:szCs w:val="24"/>
          <w:highlight w:val="none"/>
        </w:rPr>
        <w:t>的监督管理下，按照政府采购程序组织竞争性磋商，确定乙方为</w:t>
      </w:r>
      <w:r>
        <w:rPr>
          <w:rFonts w:hint="eastAsia" w:asciiTheme="minorEastAsia" w:hAnsiTheme="minorEastAsia" w:eastAsiaTheme="minorEastAsia" w:cstheme="minorEastAsia"/>
          <w:color w:val="auto"/>
          <w:sz w:val="24"/>
          <w:szCs w:val="24"/>
          <w:highlight w:val="none"/>
          <w:lang w:val="en-US" w:eastAsia="zh-CN"/>
        </w:rPr>
        <w:t xml:space="preserve"> ****项目名称</w:t>
      </w:r>
      <w:r>
        <w:rPr>
          <w:rFonts w:hint="eastAsia" w:asciiTheme="minorEastAsia" w:hAnsiTheme="minorEastAsia" w:eastAsiaTheme="minorEastAsia" w:cstheme="minorEastAsia"/>
          <w:color w:val="auto"/>
          <w:sz w:val="24"/>
          <w:szCs w:val="24"/>
          <w:highlight w:val="none"/>
        </w:rPr>
        <w:t>（项目编号：</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成交供应商。依据《中华人民共和国政府采购法》、《中华人民共和国招投标法》、《中华人民共和国民法典》、《中华人民共和国建筑法》以及采购代理机构竞争性磋商文件、成交通知书，经甲、乙双方协商，达成如下合同条款。</w:t>
      </w:r>
    </w:p>
    <w:p w14:paraId="7D560289">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一、工程概况</w:t>
      </w:r>
    </w:p>
    <w:p w14:paraId="47381D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1、工程名称：</w:t>
      </w:r>
      <w:r>
        <w:rPr>
          <w:rFonts w:hint="eastAsia" w:asciiTheme="minorEastAsia" w:hAnsiTheme="minorEastAsia" w:eastAsiaTheme="minorEastAsia" w:cstheme="minorEastAsia"/>
          <w:color w:val="auto"/>
          <w:sz w:val="24"/>
          <w:szCs w:val="24"/>
          <w:highlight w:val="none"/>
          <w:lang w:val="en-US" w:eastAsia="zh-CN"/>
        </w:rPr>
        <w:t xml:space="preserve"> </w:t>
      </w:r>
    </w:p>
    <w:p w14:paraId="107CEDD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color w:val="auto"/>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rPr>
        <w:t>2、工程地点：</w:t>
      </w:r>
      <w:r>
        <w:rPr>
          <w:rFonts w:hint="eastAsia" w:asciiTheme="minorEastAsia" w:hAnsiTheme="minorEastAsia" w:eastAsiaTheme="minorEastAsia" w:cstheme="minorEastAsia"/>
          <w:b w:val="0"/>
          <w:bCs/>
          <w:color w:val="auto"/>
          <w:sz w:val="24"/>
          <w:szCs w:val="24"/>
          <w:highlight w:val="none"/>
          <w:lang w:val="en-US" w:eastAsia="zh-CN"/>
        </w:rPr>
        <w:t xml:space="preserve"> </w:t>
      </w:r>
    </w:p>
    <w:p w14:paraId="535214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lang w:eastAsia="zh-CN"/>
        </w:rPr>
      </w:pPr>
      <w:r>
        <w:rPr>
          <w:rFonts w:hint="eastAsia" w:asciiTheme="minorEastAsia" w:hAnsiTheme="minorEastAsia" w:eastAsiaTheme="minorEastAsia" w:cstheme="minorEastAsia"/>
          <w:color w:val="auto"/>
          <w:kern w:val="0"/>
          <w:sz w:val="24"/>
          <w:szCs w:val="24"/>
          <w:highlight w:val="none"/>
        </w:rPr>
        <w:t>3、承包范围：</w:t>
      </w:r>
      <w:r>
        <w:rPr>
          <w:rFonts w:hint="eastAsia" w:asciiTheme="minorEastAsia" w:hAnsiTheme="minorEastAsia" w:eastAsiaTheme="minorEastAsia" w:cstheme="minorEastAsia"/>
          <w:color w:val="auto"/>
          <w:kern w:val="0"/>
          <w:sz w:val="24"/>
          <w:szCs w:val="24"/>
          <w:highlight w:val="none"/>
          <w:lang w:val="en-US" w:eastAsia="zh-CN"/>
        </w:rPr>
        <w:t xml:space="preserve"> </w:t>
      </w:r>
    </w:p>
    <w:p w14:paraId="5797A0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rPr>
        <w:t>4、承包方式：</w:t>
      </w:r>
      <w:r>
        <w:rPr>
          <w:rFonts w:hint="eastAsia" w:asciiTheme="minorEastAsia" w:hAnsiTheme="minorEastAsia" w:eastAsiaTheme="minorEastAsia" w:cstheme="minorEastAsia"/>
          <w:color w:val="auto"/>
          <w:kern w:val="0"/>
          <w:sz w:val="24"/>
          <w:szCs w:val="24"/>
          <w:highlight w:val="none"/>
          <w:lang w:val="en-US" w:eastAsia="zh-CN"/>
        </w:rPr>
        <w:t xml:space="preserve"> </w:t>
      </w:r>
    </w:p>
    <w:p w14:paraId="1632622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rPr>
        <w:t>5、工    期：</w:t>
      </w:r>
      <w:r>
        <w:rPr>
          <w:rFonts w:hint="eastAsia" w:asciiTheme="minorEastAsia" w:hAnsiTheme="minorEastAsia" w:eastAsiaTheme="minorEastAsia" w:cstheme="minorEastAsia"/>
          <w:color w:val="auto"/>
          <w:kern w:val="0"/>
          <w:sz w:val="24"/>
          <w:szCs w:val="24"/>
          <w:highlight w:val="none"/>
          <w:lang w:val="en-US" w:eastAsia="zh-CN"/>
        </w:rPr>
        <w:t>150</w:t>
      </w:r>
      <w:r>
        <w:rPr>
          <w:rFonts w:hint="eastAsia" w:asciiTheme="minorEastAsia" w:hAnsiTheme="minorEastAsia" w:eastAsiaTheme="minorEastAsia" w:cstheme="minorEastAsia"/>
          <w:color w:val="auto"/>
          <w:kern w:val="0"/>
          <w:sz w:val="24"/>
          <w:szCs w:val="24"/>
          <w:highlight w:val="none"/>
        </w:rPr>
        <w:t>日历</w:t>
      </w:r>
      <w:r>
        <w:rPr>
          <w:rFonts w:hint="eastAsia" w:asciiTheme="minorEastAsia" w:hAnsiTheme="minorEastAsia" w:eastAsiaTheme="minorEastAsia" w:cstheme="minorEastAsia"/>
          <w:color w:val="auto"/>
          <w:kern w:val="0"/>
          <w:sz w:val="24"/>
          <w:szCs w:val="24"/>
          <w:highlight w:val="none"/>
          <w:lang w:val="en-US" w:eastAsia="zh-CN"/>
        </w:rPr>
        <w:t>天</w:t>
      </w:r>
    </w:p>
    <w:p w14:paraId="5B317EE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6、开工日期：2</w:t>
      </w:r>
      <w:r>
        <w:rPr>
          <w:rFonts w:hint="eastAsia" w:asciiTheme="minorEastAsia" w:hAnsiTheme="minorEastAsia" w:eastAsiaTheme="minorEastAsia" w:cstheme="minorEastAsia"/>
          <w:color w:val="auto"/>
          <w:sz w:val="24"/>
          <w:szCs w:val="24"/>
          <w:highlight w:val="none"/>
          <w:lang w:val="en-US" w:eastAsia="zh-CN"/>
        </w:rPr>
        <w:t>02</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年</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kern w:val="0"/>
          <w:sz w:val="24"/>
          <w:szCs w:val="24"/>
          <w:highlight w:val="none"/>
        </w:rPr>
        <w:t>月</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日</w:t>
      </w:r>
    </w:p>
    <w:p w14:paraId="29A53A5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7、竣工日期：</w:t>
      </w:r>
      <w:r>
        <w:rPr>
          <w:rFonts w:hint="eastAsia" w:asciiTheme="minorEastAsia" w:hAnsiTheme="minorEastAsia" w:eastAsiaTheme="minorEastAsia" w:cstheme="minorEastAsia"/>
          <w:color w:val="auto"/>
          <w:kern w:val="0"/>
          <w:sz w:val="24"/>
          <w:szCs w:val="24"/>
          <w:highlight w:val="none"/>
          <w:lang w:val="en-US" w:eastAsia="zh-CN"/>
        </w:rPr>
        <w:t>202</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年</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lang w:val="en-US" w:eastAsia="zh-CN"/>
        </w:rPr>
        <w:t xml:space="preserve"> </w:t>
      </w:r>
      <w:r>
        <w:rPr>
          <w:rFonts w:hint="eastAsia" w:asciiTheme="minorEastAsia" w:hAnsiTheme="minorEastAsia" w:eastAsiaTheme="minorEastAsia" w:cstheme="minorEastAsia"/>
          <w:color w:val="auto"/>
          <w:kern w:val="0"/>
          <w:sz w:val="24"/>
          <w:szCs w:val="24"/>
          <w:highlight w:val="none"/>
        </w:rPr>
        <w:t>月</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kern w:val="0"/>
          <w:sz w:val="24"/>
          <w:szCs w:val="24"/>
          <w:highlight w:val="none"/>
        </w:rPr>
        <w:t>日</w:t>
      </w:r>
    </w:p>
    <w:p w14:paraId="06E8FDF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8、工程质量：合格</w:t>
      </w:r>
    </w:p>
    <w:p w14:paraId="0CFD2A8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9、合同价款：</w:t>
      </w:r>
      <w:r>
        <w:rPr>
          <w:rFonts w:hint="eastAsia" w:asciiTheme="minorEastAsia" w:hAnsiTheme="minorEastAsia" w:eastAsiaTheme="minorEastAsia" w:cstheme="minorEastAsia"/>
          <w:color w:val="auto"/>
          <w:sz w:val="24"/>
          <w:szCs w:val="24"/>
          <w:highlight w:val="none"/>
        </w:rPr>
        <w:t>人民币（大写）</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元。</w:t>
      </w:r>
    </w:p>
    <w:p w14:paraId="6FAF08FB">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二、甲方工作</w:t>
      </w:r>
    </w:p>
    <w:p w14:paraId="4B1BB475">
      <w:pPr>
        <w:keepNext w:val="0"/>
        <w:keepLines w:val="0"/>
        <w:pageBreakBefore w:val="0"/>
        <w:widowControl w:val="0"/>
        <w:kinsoku/>
        <w:wordWrap/>
        <w:overflowPunct/>
        <w:topLinePunct w:val="0"/>
        <w:autoSpaceDE/>
        <w:autoSpaceDN/>
        <w:bidi w:val="0"/>
        <w:adjustRightInd/>
        <w:snapToGrid/>
        <w:spacing w:line="360" w:lineRule="auto"/>
        <w:ind w:left="300" w:leftChars="143" w:firstLine="240" w:firstLineChars="1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1、开工前三天，向乙方提供经确认的施工图纸或做法说明三份，并向乙方进行</w:t>
      </w:r>
    </w:p>
    <w:p w14:paraId="4BC7350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现场交底。向乙方提供施工场地工程地质勘察资料、地形图及地下管网线路资料各一份，并保证资料真实准确。向乙方提供施工所需的水、电接口，并说明使用注意事项。办理施工所涉及的各种申请、批件等手续。</w:t>
      </w:r>
    </w:p>
    <w:p w14:paraId="1CFF7409">
      <w:pPr>
        <w:keepNext w:val="0"/>
        <w:keepLines w:val="0"/>
        <w:pageBreakBefore w:val="0"/>
        <w:widowControl w:val="0"/>
        <w:kinsoku/>
        <w:wordWrap/>
        <w:overflowPunct/>
        <w:topLinePunct w:val="0"/>
        <w:autoSpaceDE/>
        <w:autoSpaceDN/>
        <w:bidi w:val="0"/>
        <w:adjustRightInd/>
        <w:snapToGrid/>
        <w:spacing w:line="360" w:lineRule="auto"/>
        <w:ind w:left="3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 xml:space="preserve">  2、指派</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为甲方驻工地代表，负责合同履行。对工程质量、进度进行监督</w:t>
      </w:r>
    </w:p>
    <w:p w14:paraId="1966CD7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检查，办理验收、变更、登记手续和其他事宜。</w:t>
      </w:r>
    </w:p>
    <w:p w14:paraId="12D8B88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3、协助乙方保护好周围建筑物及装修、设备管线。</w:t>
      </w:r>
    </w:p>
    <w:p w14:paraId="30C99CC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4、负责办理施工场地的拆迁，清理地上地下障碍物，并在开工后负责解决以上事项的遗留问题。</w:t>
      </w:r>
    </w:p>
    <w:p w14:paraId="1AA9DA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5、将水准点与坐标控制点以书面形式交给乙方，并进行现场交验，乙方正式放线后，及时请城建管理部门进行验线。</w:t>
      </w:r>
    </w:p>
    <w:p w14:paraId="2E66DF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6、协助乙方做好现场保卫、消防、垃圾处理等工作。</w:t>
      </w:r>
    </w:p>
    <w:p w14:paraId="37F1B03A">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三、乙方工作</w:t>
      </w:r>
    </w:p>
    <w:p w14:paraId="7956391C">
      <w:pPr>
        <w:keepNext w:val="0"/>
        <w:keepLines w:val="0"/>
        <w:pageBreakBefore w:val="0"/>
        <w:widowControl w:val="0"/>
        <w:kinsoku/>
        <w:wordWrap/>
        <w:overflowPunct/>
        <w:topLinePunct w:val="0"/>
        <w:autoSpaceDE/>
        <w:autoSpaceDN/>
        <w:bidi w:val="0"/>
        <w:adjustRightInd/>
        <w:snapToGrid/>
        <w:spacing w:line="360" w:lineRule="auto"/>
        <w:ind w:left="3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 xml:space="preserve">  1、会同甲方于开工前按有关规定办理施工许可证。参加甲方组织的施工图纸或</w:t>
      </w:r>
    </w:p>
    <w:p w14:paraId="56B2290C">
      <w:pPr>
        <w:keepNext w:val="0"/>
        <w:keepLines w:val="0"/>
        <w:pageBreakBefore w:val="0"/>
        <w:widowControl w:val="0"/>
        <w:kinsoku/>
        <w:wordWrap/>
        <w:overflowPunct/>
        <w:topLinePunct w:val="0"/>
        <w:autoSpaceDE/>
        <w:autoSpaceDN/>
        <w:bidi w:val="0"/>
        <w:adjustRightInd/>
        <w:snapToGrid/>
        <w:spacing w:line="360" w:lineRule="auto"/>
        <w:ind w:left="480" w:hanging="480" w:hanging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做法说明的现场交底，拟定对本工程有针对性的施工方案和进度计划，交甲方审定。2、指派</w:t>
      </w:r>
      <w:r>
        <w:rPr>
          <w:rFonts w:hint="eastAsia" w:asciiTheme="minorEastAsia" w:hAnsiTheme="minorEastAsia" w:eastAsiaTheme="minorEastAsia" w:cstheme="minorEastAsia"/>
          <w:color w:val="auto"/>
          <w:sz w:val="24"/>
          <w:szCs w:val="24"/>
          <w:highlight w:val="none"/>
        </w:rPr>
        <w:t>XXX</w:t>
      </w:r>
      <w:r>
        <w:rPr>
          <w:rFonts w:hint="eastAsia" w:asciiTheme="minorEastAsia" w:hAnsiTheme="minorEastAsia" w:eastAsiaTheme="minorEastAsia" w:cstheme="minorEastAsia"/>
          <w:color w:val="auto"/>
          <w:kern w:val="0"/>
          <w:sz w:val="24"/>
          <w:szCs w:val="24"/>
          <w:highlight w:val="none"/>
        </w:rPr>
        <w:t>为乙方驻工地代表，负责合同履行。按要求组织施工，保质保量、</w:t>
      </w:r>
    </w:p>
    <w:p w14:paraId="3CD9CC6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按期完成施工任务，解决由乙方负责的各项事宜。</w:t>
      </w:r>
    </w:p>
    <w:p w14:paraId="315D2C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 xml:space="preserve">3、严格执行施工规范、安全操作规程、防火安全规定、环境保护规定。严格按照图纸或做法说明进行施工，做好各项质量检查记录。参加工程验收，编制工程结算。 </w:t>
      </w:r>
    </w:p>
    <w:p w14:paraId="682D3FF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4、遵守国家或地方政府及有关部门对施工现场管理的规定，妥善保护好施工现场建筑物、设备管线不受损坏。做好施工现场保卫和垃圾清理等工作，处理好由于施工带来的扰民问题及与周围单位的关系。</w:t>
      </w:r>
    </w:p>
    <w:p w14:paraId="57B0F8B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5、施工中未经甲方同意或有关部门批准，不得随意拆改原建筑物结构及各种设备管线。</w:t>
      </w:r>
    </w:p>
    <w:p w14:paraId="286CC94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6、工程竣工未移交甲方之前，负责对现场的一切设备和工程成品进行保护。</w:t>
      </w:r>
    </w:p>
    <w:p w14:paraId="03719F4B">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四、关于工期的约定</w:t>
      </w:r>
    </w:p>
    <w:p w14:paraId="2DCE35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1、乙方必须严格按照工期约定完工，不得推迟。</w:t>
      </w:r>
    </w:p>
    <w:p w14:paraId="444020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2、甲方要求比合同约定的工期提前竣工时，经分析新工期要求合理，乙方应予</w:t>
      </w:r>
    </w:p>
    <w:p w14:paraId="14F0673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执行。</w:t>
      </w:r>
    </w:p>
    <w:p w14:paraId="17F726B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3、因甲方未按约定完成工作而影响进度，工期顺延。</w:t>
      </w:r>
    </w:p>
    <w:p w14:paraId="48BEF02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4、因乙方责任，不能按期开工或中途无故停工，影响进度，工期不顺延。</w:t>
      </w:r>
    </w:p>
    <w:p w14:paraId="684D23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5、因设计变更或非乙方原因造成的停电、停水及不可抗力因素，导致停工</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72</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小时以上（一周内累计计算），工期相应顺延。</w:t>
      </w:r>
    </w:p>
    <w:p w14:paraId="5D479943">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五、关于工程质量及验收的规定</w:t>
      </w:r>
    </w:p>
    <w:p w14:paraId="374D67F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本工程以施工图纸、做法说明、设计变更和《建筑装修工程质量验收规范》（GB50210-2001）、《建筑工程施工质量验收统一标准》（GB50300-2013）、《建筑内部装修设计防火规范》（GB50222-2017）等国家制订的最新施工及验收规范为质量评定验收标准。</w:t>
      </w:r>
    </w:p>
    <w:p w14:paraId="0030C75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2、本工程质量应达到国家质量评定优良标准。</w:t>
      </w:r>
    </w:p>
    <w:p w14:paraId="2B02F67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甲、乙双方应及时办理隐蔽工程和中间工程的检查和验收手续。甲方不按时参加隐蔽工程和中间工程验收，乙方可以自行验收，甲方应予承认。若甲方要求复验时，乙方应按要求办理复验。若复验合格，甲方应承担复验费用，由此造成停工，工期顺延；若复验不合格，其复验及返工费用由乙方承担，工期也不顺延。</w:t>
      </w:r>
    </w:p>
    <w:p w14:paraId="37F082F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4、由于乙方原因造成质量事故，其返工费用由乙方承担，工期不顺延。</w:t>
      </w:r>
    </w:p>
    <w:p w14:paraId="254D631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5、工程竣工后，乙方应通知甲方验收，甲方自接到验收通知</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日内组织验收，并办理验收、移交手续。如甲方在规定时间内未能组织验收，须及时通知乙方，另定验收日期。若另定日期验收合格甲方承认竣工日期；若验收不合格，其竣工日期为验收合格之日。看管费用和相关费用由乙方承担。</w:t>
      </w:r>
    </w:p>
    <w:p w14:paraId="3B2120C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6、工程验收合格后，甲、乙双方应尽快办理移交。不论什么原因，乙方无留滞权。同时，填写政府采购项目履约验收单（一式伍份）作为对项目的最终认可。政府采购项目履约验收单（原件）送采购代理机构一份，并据此退还履约保证金。</w:t>
      </w:r>
    </w:p>
    <w:p w14:paraId="7439E2E0">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六、款项支付</w:t>
      </w:r>
    </w:p>
    <w:p w14:paraId="3CB9DEE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yellow"/>
          <w:lang w:val="en-US" w:eastAsia="zh-CN"/>
        </w:rPr>
      </w:pPr>
      <w:r>
        <w:rPr>
          <w:rFonts w:hint="eastAsia" w:asciiTheme="minorEastAsia" w:hAnsiTheme="minorEastAsia" w:eastAsiaTheme="minorEastAsia" w:cstheme="minorEastAsia"/>
          <w:color w:val="auto"/>
          <w:kern w:val="0"/>
          <w:sz w:val="24"/>
          <w:szCs w:val="24"/>
          <w:highlight w:val="yellow"/>
          <w:lang w:val="en-US" w:eastAsia="zh-CN"/>
        </w:rPr>
        <w:t>1、付款方式：</w:t>
      </w:r>
    </w:p>
    <w:p w14:paraId="0245065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rPr>
        <w:t>2</w:t>
      </w:r>
      <w:r>
        <w:rPr>
          <w:rFonts w:hint="eastAsia" w:asciiTheme="minorEastAsia" w:hAnsiTheme="minorEastAsia" w:eastAsiaTheme="minorEastAsia" w:cstheme="minorEastAsia"/>
          <w:color w:val="auto"/>
          <w:kern w:val="0"/>
          <w:sz w:val="24"/>
          <w:szCs w:val="24"/>
          <w:highlight w:val="none"/>
        </w:rPr>
        <w:t>、支付方式：银行转账</w:t>
      </w:r>
    </w:p>
    <w:p w14:paraId="4188A2B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rPr>
        <w:t>3</w:t>
      </w:r>
      <w:r>
        <w:rPr>
          <w:rFonts w:hint="eastAsia" w:asciiTheme="minorEastAsia" w:hAnsiTheme="minorEastAsia" w:eastAsiaTheme="minorEastAsia" w:cstheme="minorEastAsia"/>
          <w:color w:val="auto"/>
          <w:kern w:val="0"/>
          <w:sz w:val="24"/>
          <w:szCs w:val="24"/>
          <w:highlight w:val="none"/>
        </w:rPr>
        <w:t>、结算方式：</w:t>
      </w:r>
      <w:r>
        <w:rPr>
          <w:rFonts w:hint="eastAsia" w:asciiTheme="minorEastAsia" w:hAnsiTheme="minorEastAsia" w:eastAsiaTheme="minorEastAsia" w:cstheme="minorEastAsia"/>
          <w:sz w:val="24"/>
          <w:szCs w:val="24"/>
          <w:highlight w:val="none"/>
        </w:rPr>
        <w:t>采购人结算，在付款前必须开具等额发票给采购人。</w:t>
      </w:r>
    </w:p>
    <w:p w14:paraId="07FEEAF3">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七、关于材料供应的约定</w:t>
      </w:r>
    </w:p>
    <w:p w14:paraId="219CD8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1、乙方采购的材料、设备，应符合设计要求和国家规范</w:t>
      </w:r>
      <w:bookmarkStart w:id="0" w:name="_GoBack"/>
      <w:bookmarkEnd w:id="0"/>
      <w:r>
        <w:rPr>
          <w:rFonts w:hint="eastAsia" w:asciiTheme="minorEastAsia" w:hAnsiTheme="minorEastAsia" w:eastAsiaTheme="minorEastAsia" w:cstheme="minorEastAsia"/>
          <w:color w:val="auto"/>
          <w:kern w:val="0"/>
          <w:sz w:val="24"/>
          <w:szCs w:val="24"/>
          <w:highlight w:val="none"/>
        </w:rPr>
        <w:t>，严格按照磋商时所明确的品牌、规格、型号、产地组织采购。组织采购的材料如不符合质量要求或规格有差异，应禁止使用。若已使用，对工程造成的损失由乙方负责。施工中，需要复检的材料，应由国家授权的检测机构进行复检，其结果应加盖检测单位红章。</w:t>
      </w:r>
    </w:p>
    <w:p w14:paraId="7F5B07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2、根据工程需要，经甲方代表批准，乙方可使用代用材料，其费用应予以调整。但甲方不得借此提高材料的质量和档次。（只要满足设计要求即可）</w:t>
      </w:r>
    </w:p>
    <w:p w14:paraId="72F388B7">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3、凡乙方购进的施工材料，使用前必须经过甲方验收认可后方可使用，否则甲方拒绝施工验收。</w:t>
      </w:r>
    </w:p>
    <w:p w14:paraId="58E652B4">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4、</w:t>
      </w:r>
      <w:r>
        <w:rPr>
          <w:rFonts w:hint="eastAsia" w:asciiTheme="minorEastAsia" w:hAnsiTheme="minorEastAsia" w:eastAsiaTheme="minorEastAsia" w:cstheme="minorEastAsia"/>
          <w:b/>
          <w:color w:val="auto"/>
          <w:sz w:val="24"/>
          <w:szCs w:val="24"/>
          <w:highlight w:val="none"/>
        </w:rPr>
        <w:t>双方协商的其他条款</w:t>
      </w:r>
    </w:p>
    <w:p w14:paraId="20104B6B">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八、有关安全生产和防火的约定</w:t>
      </w:r>
    </w:p>
    <w:p w14:paraId="0B9041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1、甲方提供的施工图纸和做法说明，应符合《中华人民共和国消防条例》和有关防火设计规范。</w:t>
      </w:r>
    </w:p>
    <w:p w14:paraId="1A903970">
      <w:pPr>
        <w:keepNext w:val="0"/>
        <w:keepLines w:val="0"/>
        <w:pageBreakBefore w:val="0"/>
        <w:widowControl w:val="0"/>
        <w:kinsoku/>
        <w:wordWrap/>
        <w:overflowPunct/>
        <w:topLinePunct w:val="0"/>
        <w:autoSpaceDE/>
        <w:autoSpaceDN/>
        <w:bidi w:val="0"/>
        <w:adjustRightInd/>
        <w:snapToGrid/>
        <w:spacing w:line="360" w:lineRule="auto"/>
        <w:ind w:left="2" w:leftChars="1" w:firstLine="501" w:firstLineChars="209"/>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2、乙方在施工期间应严格遵守《建筑安装工程技术规程》、《建筑安装工人安全操作规程》、《中华人民共和国消防条例》和其他相关的法规、规范。</w:t>
      </w:r>
    </w:p>
    <w:p w14:paraId="65851277">
      <w:pPr>
        <w:keepNext w:val="0"/>
        <w:keepLines w:val="0"/>
        <w:pageBreakBefore w:val="0"/>
        <w:widowControl w:val="0"/>
        <w:kinsoku/>
        <w:wordWrap/>
        <w:overflowPunct/>
        <w:topLinePunct w:val="0"/>
        <w:autoSpaceDE/>
        <w:autoSpaceDN/>
        <w:bidi w:val="0"/>
        <w:adjustRightInd/>
        <w:snapToGrid/>
        <w:spacing w:line="360" w:lineRule="auto"/>
        <w:ind w:left="2" w:leftChars="1" w:firstLine="501" w:firstLineChars="209"/>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3、由于甲方图纸中做法说明，违反有关安全操作规程、消防法和防火设计规范，导致发生安全或火灾事故，甲方</w:t>
      </w:r>
      <w:r>
        <w:rPr>
          <w:rFonts w:hint="eastAsia" w:asciiTheme="minorEastAsia" w:hAnsiTheme="minorEastAsia" w:eastAsiaTheme="minorEastAsia" w:cstheme="minorEastAsia"/>
          <w:b/>
          <w:color w:val="auto"/>
          <w:kern w:val="0"/>
          <w:sz w:val="24"/>
          <w:szCs w:val="24"/>
          <w:highlight w:val="none"/>
        </w:rPr>
        <w:t>和设计院</w:t>
      </w:r>
      <w:r>
        <w:rPr>
          <w:rFonts w:hint="eastAsia" w:asciiTheme="minorEastAsia" w:hAnsiTheme="minorEastAsia" w:eastAsiaTheme="minorEastAsia" w:cstheme="minorEastAsia"/>
          <w:color w:val="auto"/>
          <w:kern w:val="0"/>
          <w:sz w:val="24"/>
          <w:szCs w:val="24"/>
          <w:highlight w:val="none"/>
        </w:rPr>
        <w:t>应承担由此产生的一切责任与损失。</w:t>
      </w:r>
    </w:p>
    <w:p w14:paraId="399DAEEA">
      <w:pPr>
        <w:keepNext w:val="0"/>
        <w:keepLines w:val="0"/>
        <w:pageBreakBefore w:val="0"/>
        <w:widowControl w:val="0"/>
        <w:kinsoku/>
        <w:wordWrap/>
        <w:overflowPunct/>
        <w:topLinePunct w:val="0"/>
        <w:autoSpaceDE/>
        <w:autoSpaceDN/>
        <w:bidi w:val="0"/>
        <w:adjustRightInd/>
        <w:snapToGrid/>
        <w:spacing w:line="360" w:lineRule="auto"/>
        <w:ind w:left="2" w:leftChars="1" w:firstLine="501" w:firstLineChars="209"/>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4、由于乙方在施工生产过程中违反有关安全、消防等规定，导致发生安全或火灾事故，乙方应承担由此产生的一切责任与损失。</w:t>
      </w:r>
    </w:p>
    <w:p w14:paraId="7F413131">
      <w:pPr>
        <w:keepNext w:val="0"/>
        <w:keepLines w:val="0"/>
        <w:pageBreakBefore w:val="0"/>
        <w:widowControl w:val="0"/>
        <w:kinsoku/>
        <w:wordWrap/>
        <w:overflowPunct/>
        <w:topLinePunct w:val="0"/>
        <w:autoSpaceDE/>
        <w:autoSpaceDN/>
        <w:bidi w:val="0"/>
        <w:adjustRightInd/>
        <w:snapToGrid/>
        <w:spacing w:line="360" w:lineRule="auto"/>
        <w:ind w:left="2" w:leftChars="1" w:firstLine="504" w:firstLineChars="209"/>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kern w:val="0"/>
          <w:sz w:val="24"/>
          <w:szCs w:val="24"/>
          <w:highlight w:val="none"/>
        </w:rPr>
        <w:t>5、</w:t>
      </w:r>
      <w:r>
        <w:rPr>
          <w:rFonts w:hint="eastAsia" w:asciiTheme="minorEastAsia" w:hAnsiTheme="minorEastAsia" w:eastAsiaTheme="minorEastAsia" w:cstheme="minorEastAsia"/>
          <w:b/>
          <w:color w:val="auto"/>
          <w:sz w:val="24"/>
          <w:szCs w:val="24"/>
          <w:highlight w:val="none"/>
        </w:rPr>
        <w:t>双方协商的其他条款</w:t>
      </w:r>
    </w:p>
    <w:p w14:paraId="21CD1DDA">
      <w:pPr>
        <w:keepNext w:val="0"/>
        <w:keepLines w:val="0"/>
        <w:pageBreakBefore w:val="0"/>
        <w:widowControl w:val="0"/>
        <w:kinsoku/>
        <w:wordWrap/>
        <w:overflowPunct/>
        <w:topLinePunct w:val="0"/>
        <w:autoSpaceDE/>
        <w:autoSpaceDN/>
        <w:bidi w:val="0"/>
        <w:adjustRightInd/>
        <w:snapToGrid/>
        <w:spacing w:line="360" w:lineRule="auto"/>
        <w:ind w:left="2" w:leftChars="1" w:firstLine="504" w:firstLineChars="209"/>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九、安全文明施工</w:t>
      </w:r>
    </w:p>
    <w:p w14:paraId="6C58410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1、乙方委派专人负责组织完成施工合同的全部内容，完成工程承包过程中与甲方接洽的一切事项，对所承包施工任务的质量、安全生产、文明施工、工程进度等管理工作进行检查和监督，并负全责。</w:t>
      </w:r>
    </w:p>
    <w:p w14:paraId="7752F3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2、乙方不得将工程再分包，否则甲方可终止合同，且再分包部分出现的任何责任及费用甲方均不予承认，均由乙方承担。</w:t>
      </w:r>
    </w:p>
    <w:p w14:paraId="42F313B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乙方在进场前签订安全责任书，指定安全管理人员监督施工现场，坚决做好安全、消防、安全保卫工作，确保施工安全，保证安全生产，杜绝一切安全事故，若因违反国家法律法规导致的安全生产事故，乙方承担所有法律、经济责任并负责赔偿所有损失。</w:t>
      </w:r>
    </w:p>
    <w:p w14:paraId="5C14F17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4、乙方保证施工人员必须经过专业技能培训，使用专业设备技术人员必须具备上岗证。</w:t>
      </w:r>
    </w:p>
    <w:p w14:paraId="1DF7E7B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5、严格执行施工规范、安全操作规程、防火安全规定、环境保护规定。严格按照施工方案进行施工，做好各项质量检查记录。参加工程验收，编制工程结算。</w:t>
      </w:r>
    </w:p>
    <w:p w14:paraId="1A10849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6、乙方负责对施工人员在施工前作安全教育，在施工中遵守安全操作规程。施工人员进入现场须戴好 安全帽，高空作业应穿防滑鞋、系好安全带，配带齐有效安全防护用品。现场设路专职监护人员看管，禁止收废品等非施工人员进入现场，杜绝意外事故发生。</w:t>
      </w:r>
    </w:p>
    <w:p w14:paraId="7AE4B1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7、施工前乙方应认真检查施工现场是否真正断电、断水，并与甲方办理交接手续，杜绝安全隐患的存在，如因乙方检查疏漏造成事故，所有损失责任均由乙方承担。</w:t>
      </w:r>
    </w:p>
    <w:p w14:paraId="12F7EB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8、乙方在施工前应做好拆除施工方案，并报甲方审批，经甲方批准后方可施工。方案中要写明管理人员安排，施工人员安排，机械设备安排，施工顺序安排等。</w:t>
      </w:r>
    </w:p>
    <w:p w14:paraId="234A3DA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9、渣土清运工作，乙方要设路专人指挥交通，防止发生交通事故或造成交通堵塞。驶出现场车辆，要保特清洁，封益严密，防止洒落造成污染，按环保要求认真执行。如因乙方施工未按照以上要求执行，受到城管、环保等部门处罚均由乙方承担，且若因此给甲方造成的影响乙方要承担相应责任。</w:t>
      </w:r>
    </w:p>
    <w:p w14:paraId="12568DC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10、乙方对隐蔽工程都要进行过程检验和最终检验，并且要结合施工、验收等重大程序分阶段做好质量记录。施工完毕但未通过验收之前，乙方应对整个工程负责。验收合格后，乙方必须主动向甲方供有关工程记录、隐蔽工程记录等文件资料，切实履行交接手续并主动做好工程的后期维护保养工作。</w:t>
      </w:r>
    </w:p>
    <w:p w14:paraId="4E2F42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施工过程中，乙方所有工作必须符合和满足国家各项相关法律法规规定及要求，若因违反任何法律法规受到相关部门的处罚，均由乙方承担，且若因此给甲方造成的损失乙方也要承担负责。若造成工期延误，乙方不得收取任何费用，应积极接受处罚。</w:t>
      </w:r>
    </w:p>
    <w:p w14:paraId="6361DB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12、乙方用工要办理齐全手续，做到合法用工。乙方自行解決人员食宿、办公等用房，包括炊具燃料等。乙方应自行对本单位施工人员加强纪律教育，在施工现场与其它单位人员发生接触要互相礼让，避免出现打架斗殴、群斗群伤事件的发生。因上达事件产生的一切经济损失和法律责任由事件责任双方共同承担，甲方保留单方解除合同的权利。</w:t>
      </w:r>
    </w:p>
    <w:p w14:paraId="0299BC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13、积极配合甲方完成工程审计，提供审计需要的相关资料。</w:t>
      </w:r>
    </w:p>
    <w:p w14:paraId="65ECE8BD">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十、违约责任</w:t>
      </w:r>
    </w:p>
    <w:p w14:paraId="3FD769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1、乙方应妥善保护甲方提供的设备和工程成品，如造成损失，应照价赔偿。</w:t>
      </w:r>
    </w:p>
    <w:p w14:paraId="0EF9ED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2、甲方未办理任何手续，擅自同意拆改原有建筑物结构或设备管线，由此发生的损失或事故（包括罚款），由甲方负责并承担损失。</w:t>
      </w:r>
    </w:p>
    <w:p w14:paraId="2747EC3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3、未经甲方同意，乙方擅自同意拆改原有建筑物结构或设备管线，由此发生的损失或事故（包括罚款），由乙方负责并承担损失。</w:t>
      </w:r>
    </w:p>
    <w:p w14:paraId="3462A61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4、未办理验收手续，甲方提前使用或擅自动用，造成损失由甲方负责（但质量原因除外）。</w:t>
      </w:r>
    </w:p>
    <w:p w14:paraId="707D4C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7、因一方原因，合同无法继续履行时，应及时通知对方，双方协商一致可办理合同终止协议，并由责任方赔偿对方由此造成的经济损失。</w:t>
      </w:r>
    </w:p>
    <w:p w14:paraId="47180E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8、本合同中各条款约定的违约金可自甲方未支付款项中直接扣除，违约金若不能弥补甲方损失的，乙方还应赔偿甲方损失。</w:t>
      </w:r>
    </w:p>
    <w:p w14:paraId="6E47D8C8">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9、（双方协商的其他条款）</w:t>
      </w:r>
    </w:p>
    <w:p w14:paraId="616356CE">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十一、按《民法典》、《建设工程质量管理条例》等有关规定要求，补充以下内容：</w:t>
      </w:r>
    </w:p>
    <w:p w14:paraId="08067F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（一）乙方未经甲方及有关部门书面同意，不得擅自变更本工程在响应承诺中认定的工程范围、施工组织方案及项目经理(响应文件中应明确项目经理的姓名及联系方法，以备检查）</w:t>
      </w:r>
    </w:p>
    <w:p w14:paraId="51D2789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（二）乙方必须自行施工，不得转包、分包。为了确保工程质量，乙方应组织一支强有力的技术骨干队伍，建立严格的质量管理体系，规范操作。</w:t>
      </w:r>
    </w:p>
    <w:p w14:paraId="38BF404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（三）乙方在响应文件和响应中的承诺以及补充意见等内容，将作为成交条件列入合同。</w:t>
      </w:r>
    </w:p>
    <w:p w14:paraId="0DF5153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（四）乙方如确因工程实际情况发生变化或其他因素（不可抗拒）造成需对方案进行修改、完善、补充时，需会同甲方商定。因此发生的费用，由双方协商解决。</w:t>
      </w:r>
    </w:p>
    <w:p w14:paraId="3F0AA08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（五）乙方按照相关规定办理投保事宜。工程施工期间及质保期内，出现的所有安全事故，由乙方承担全部责任，</w:t>
      </w:r>
    </w:p>
    <w:p w14:paraId="70454F2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（六）本项目开工后，乙方保证按月结算工人工资，施工期间不以任何名义和方式克扣工人工资，如收到此类投诉，甲方将配合劳动监察部门进行处理，有权暂停支付工程款。</w:t>
      </w:r>
    </w:p>
    <w:p w14:paraId="3581CB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w:t>
      </w:r>
      <w:r>
        <w:rPr>
          <w:rFonts w:hint="eastAsia" w:asciiTheme="minorEastAsia" w:hAnsiTheme="minorEastAsia" w:eastAsiaTheme="minorEastAsia" w:cstheme="minorEastAsia"/>
          <w:color w:val="auto"/>
          <w:kern w:val="0"/>
          <w:sz w:val="24"/>
          <w:szCs w:val="24"/>
          <w:highlight w:val="none"/>
          <w:lang w:val="en-US" w:eastAsia="zh-CN"/>
        </w:rPr>
        <w:t>七</w:t>
      </w:r>
      <w:r>
        <w:rPr>
          <w:rFonts w:hint="eastAsia" w:asciiTheme="minorEastAsia" w:hAnsiTheme="minorEastAsia" w:eastAsiaTheme="minorEastAsia" w:cstheme="minorEastAsia"/>
          <w:color w:val="auto"/>
          <w:kern w:val="0"/>
          <w:sz w:val="24"/>
          <w:szCs w:val="24"/>
          <w:highlight w:val="none"/>
        </w:rPr>
        <w:t>）乙方应做到完工、料净、场地清。将施工现场周围和生活区周围清理干净，否则甲方不予支付工程款。</w:t>
      </w:r>
    </w:p>
    <w:p w14:paraId="0FF06F7A">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十二、争议或纠纷处理</w:t>
      </w:r>
    </w:p>
    <w:p w14:paraId="3F4B2D9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1、在不影响工程进度的前提下，双方协商解决或请有关部门进行调解。</w:t>
      </w:r>
    </w:p>
    <w:p w14:paraId="447B36A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2、协商、调解不成时按下列 第</w:t>
      </w:r>
      <w:r>
        <w:rPr>
          <w:rFonts w:hint="eastAsia" w:asciiTheme="minorEastAsia" w:hAnsiTheme="minorEastAsia" w:eastAsiaTheme="minorEastAsia" w:cstheme="minorEastAsia"/>
          <w:color w:val="auto"/>
          <w:kern w:val="0"/>
          <w:sz w:val="24"/>
          <w:szCs w:val="24"/>
          <w:highlight w:val="none"/>
          <w:u w:val="single"/>
        </w:rPr>
        <w:t xml:space="preserve">   （二）  </w:t>
      </w:r>
      <w:r>
        <w:rPr>
          <w:rFonts w:hint="eastAsia" w:asciiTheme="minorEastAsia" w:hAnsiTheme="minorEastAsia" w:eastAsiaTheme="minorEastAsia" w:cstheme="minorEastAsia"/>
          <w:color w:val="auto"/>
          <w:kern w:val="0"/>
          <w:sz w:val="24"/>
          <w:szCs w:val="24"/>
          <w:highlight w:val="none"/>
        </w:rPr>
        <w:t>种方式解决：</w:t>
      </w:r>
    </w:p>
    <w:p w14:paraId="735601BC">
      <w:pPr>
        <w:keepNext w:val="0"/>
        <w:keepLines w:val="0"/>
        <w:pageBreakBefore w:val="0"/>
        <w:widowControl w:val="0"/>
        <w:kinsoku/>
        <w:wordWrap/>
        <w:overflowPunct/>
        <w:topLinePunct w:val="0"/>
        <w:autoSpaceDE/>
        <w:autoSpaceDN/>
        <w:bidi w:val="0"/>
        <w:adjustRightInd/>
        <w:snapToGrid/>
        <w:spacing w:line="360" w:lineRule="auto"/>
        <w:ind w:left="3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（一）提交西安仲裁委员会仲裁；</w:t>
      </w:r>
    </w:p>
    <w:p w14:paraId="67C0F552">
      <w:pPr>
        <w:keepNext w:val="0"/>
        <w:keepLines w:val="0"/>
        <w:pageBreakBefore w:val="0"/>
        <w:widowControl w:val="0"/>
        <w:kinsoku/>
        <w:wordWrap/>
        <w:overflowPunct/>
        <w:topLinePunct w:val="0"/>
        <w:autoSpaceDE/>
        <w:autoSpaceDN/>
        <w:bidi w:val="0"/>
        <w:adjustRightInd/>
        <w:snapToGrid/>
        <w:spacing w:line="360" w:lineRule="auto"/>
        <w:ind w:left="3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（二）依法向有管辖权的人民法院起诉。</w:t>
      </w:r>
    </w:p>
    <w:p w14:paraId="7C9E3190">
      <w:pPr>
        <w:keepNext w:val="0"/>
        <w:keepLines w:val="0"/>
        <w:pageBreakBefore w:val="0"/>
        <w:widowControl w:val="0"/>
        <w:kinsoku/>
        <w:wordWrap/>
        <w:overflowPunct/>
        <w:topLinePunct w:val="0"/>
        <w:autoSpaceDE/>
        <w:autoSpaceDN/>
        <w:bidi w:val="0"/>
        <w:adjustRightInd/>
        <w:snapToGrid/>
        <w:spacing w:line="360" w:lineRule="auto"/>
        <w:ind w:left="3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十三、质保与保修</w:t>
      </w:r>
    </w:p>
    <w:p w14:paraId="516D151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1、质保期为</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2</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年，若该质保期短于国家相关规定，则按照有关国家建设施工要求及规定确定。质保期从甲方代表再最终验收合格记录上签字之日计算。</w:t>
      </w:r>
    </w:p>
    <w:p w14:paraId="2EA77B6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2、质保期内，乙方应在接到修理通知之日，水、电暖在24小时内，其他在  日内派人修理，否则甲方可委托其他单位或人员修理。因乙方原因造成的返修费用，甲方在质保金内扣除，不足部分乙方支付，非乙方原因造成的经济支出，由甲方承担。</w:t>
      </w:r>
    </w:p>
    <w:p w14:paraId="3BE8C206">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3、质保期按照有关国家建设施工要求及规定，质保和保修期限为</w:t>
      </w:r>
      <w:r>
        <w:rPr>
          <w:rFonts w:hint="eastAsia" w:asciiTheme="minorEastAsia" w:hAnsiTheme="minorEastAsia" w:eastAsiaTheme="minorEastAsia" w:cstheme="minorEastAsia"/>
          <w:b/>
          <w:color w:val="auto"/>
          <w:sz w:val="24"/>
          <w:szCs w:val="24"/>
          <w:highlight w:val="none"/>
          <w:lang w:val="en-US" w:eastAsia="zh-CN"/>
        </w:rPr>
        <w:t>2</w:t>
      </w:r>
      <w:r>
        <w:rPr>
          <w:rFonts w:hint="eastAsia" w:asciiTheme="minorEastAsia" w:hAnsiTheme="minorEastAsia" w:eastAsiaTheme="minorEastAsia" w:cstheme="minorEastAsia"/>
          <w:b/>
          <w:color w:val="auto"/>
          <w:kern w:val="0"/>
          <w:sz w:val="24"/>
          <w:szCs w:val="24"/>
          <w:highlight w:val="none"/>
        </w:rPr>
        <w:t>年。</w:t>
      </w:r>
    </w:p>
    <w:p w14:paraId="4D6FC508">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4、双方协商的其他条款。</w:t>
      </w:r>
    </w:p>
    <w:p w14:paraId="4F4C68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 xml:space="preserve"> </w:t>
      </w:r>
      <w:r>
        <w:rPr>
          <w:rFonts w:hint="eastAsia" w:asciiTheme="minorEastAsia" w:hAnsiTheme="minorEastAsia" w:eastAsiaTheme="minorEastAsia" w:cstheme="minorEastAsia"/>
          <w:b/>
          <w:color w:val="auto"/>
          <w:kern w:val="0"/>
          <w:sz w:val="24"/>
          <w:szCs w:val="24"/>
          <w:highlight w:val="none"/>
        </w:rPr>
        <w:t>十四附则</w:t>
      </w:r>
    </w:p>
    <w:p w14:paraId="46A6909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1、本工程需要进行保险时，应另定协议。</w:t>
      </w:r>
    </w:p>
    <w:p w14:paraId="00BB1CB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2、竞争性磋商文件、响应文件以及澄清函均作为合同的附件，是合同不可分割的组成部分。与合同具有同等法律效力。</w:t>
      </w:r>
    </w:p>
    <w:p w14:paraId="0FACCD9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3、本工程乙方应严格按照设计图纸的要求施工。</w:t>
      </w:r>
    </w:p>
    <w:p w14:paraId="3ECF6F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rPr>
        <w:t>4、本合同一式</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份，甲方持</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份，乙方持</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份，本合同甲、乙</w:t>
      </w:r>
      <w:r>
        <w:rPr>
          <w:rFonts w:hint="eastAsia" w:asciiTheme="minorEastAsia" w:hAnsiTheme="minorEastAsia" w:eastAsiaTheme="minorEastAsia" w:cstheme="minorEastAsia"/>
          <w:color w:val="auto"/>
          <w:kern w:val="0"/>
          <w:sz w:val="24"/>
          <w:szCs w:val="24"/>
          <w:highlight w:val="none"/>
          <w:lang w:val="en-US" w:eastAsia="zh-CN"/>
        </w:rPr>
        <w:t>双</w:t>
      </w:r>
      <w:r>
        <w:rPr>
          <w:rFonts w:hint="eastAsia" w:asciiTheme="minorEastAsia" w:hAnsiTheme="minorEastAsia" w:eastAsiaTheme="minorEastAsia" w:cstheme="minorEastAsia"/>
          <w:color w:val="auto"/>
          <w:kern w:val="0"/>
          <w:sz w:val="24"/>
          <w:szCs w:val="24"/>
          <w:highlight w:val="none"/>
        </w:rPr>
        <w:t>方签字并盖章后生效，合同执行完毕后，自动失效（合同的服务承诺则长期有效）。</w:t>
      </w:r>
    </w:p>
    <w:tbl>
      <w:tblPr>
        <w:tblStyle w:val="3"/>
        <w:tblW w:w="9079"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4"/>
        <w:gridCol w:w="4675"/>
      </w:tblGrid>
      <w:tr w14:paraId="6D80E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4404" w:type="dxa"/>
            <w:noWrap w:val="0"/>
            <w:vAlign w:val="top"/>
          </w:tcPr>
          <w:p w14:paraId="31F62BF5">
            <w:pPr>
              <w:autoSpaceDE w:val="0"/>
              <w:autoSpaceDN w:val="0"/>
              <w:adjustRightInd w:val="0"/>
              <w:spacing w:line="360" w:lineRule="auto"/>
              <w:jc w:val="center"/>
              <w:rPr>
                <w:rFonts w:hint="eastAsia" w:ascii="宋体" w:hAnsi="宋体"/>
                <w:color w:val="auto"/>
                <w:spacing w:val="-20"/>
                <w:kern w:val="0"/>
                <w:sz w:val="24"/>
                <w:highlight w:val="none"/>
              </w:rPr>
            </w:pPr>
            <w:r>
              <w:rPr>
                <w:rFonts w:hint="eastAsia" w:ascii="宋体" w:hAnsi="宋体"/>
                <w:color w:val="auto"/>
                <w:spacing w:val="-20"/>
                <w:kern w:val="0"/>
                <w:sz w:val="24"/>
                <w:highlight w:val="none"/>
              </w:rPr>
              <w:t>甲  方</w:t>
            </w:r>
          </w:p>
        </w:tc>
        <w:tc>
          <w:tcPr>
            <w:tcW w:w="4675" w:type="dxa"/>
            <w:noWrap w:val="0"/>
            <w:vAlign w:val="top"/>
          </w:tcPr>
          <w:p w14:paraId="05F1208A">
            <w:pPr>
              <w:autoSpaceDE w:val="0"/>
              <w:autoSpaceDN w:val="0"/>
              <w:adjustRightInd w:val="0"/>
              <w:spacing w:line="360" w:lineRule="auto"/>
              <w:jc w:val="center"/>
              <w:rPr>
                <w:rFonts w:hint="eastAsia" w:ascii="宋体" w:hAnsi="宋体"/>
                <w:color w:val="auto"/>
                <w:spacing w:val="-20"/>
                <w:kern w:val="0"/>
                <w:sz w:val="24"/>
                <w:highlight w:val="none"/>
              </w:rPr>
            </w:pPr>
            <w:r>
              <w:rPr>
                <w:rFonts w:hint="eastAsia" w:ascii="宋体" w:hAnsi="宋体"/>
                <w:color w:val="auto"/>
                <w:spacing w:val="-20"/>
                <w:kern w:val="0"/>
                <w:sz w:val="24"/>
                <w:highlight w:val="none"/>
              </w:rPr>
              <w:t>乙  方</w:t>
            </w:r>
          </w:p>
        </w:tc>
      </w:tr>
      <w:tr w14:paraId="0898D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trPr>
        <w:tc>
          <w:tcPr>
            <w:tcW w:w="4404" w:type="dxa"/>
            <w:noWrap w:val="0"/>
            <w:vAlign w:val="center"/>
          </w:tcPr>
          <w:p w14:paraId="20BA88AB">
            <w:pPr>
              <w:spacing w:line="240" w:lineRule="auto"/>
              <w:jc w:val="center"/>
              <w:rPr>
                <w:rFonts w:hint="eastAsia" w:ascii="宋体" w:hAnsi="宋体"/>
                <w:color w:val="auto"/>
                <w:kern w:val="0"/>
                <w:sz w:val="24"/>
                <w:highlight w:val="none"/>
              </w:rPr>
            </w:pPr>
            <w:r>
              <w:rPr>
                <w:rFonts w:hint="eastAsia" w:ascii="宋体" w:hAnsi="宋体"/>
                <w:color w:val="auto"/>
                <w:kern w:val="0"/>
                <w:sz w:val="24"/>
                <w:highlight w:val="none"/>
              </w:rPr>
              <w:t>采购人名称</w:t>
            </w:r>
          </w:p>
          <w:p w14:paraId="088F7FD6">
            <w:pPr>
              <w:spacing w:line="240" w:lineRule="auto"/>
              <w:jc w:val="center"/>
              <w:rPr>
                <w:rFonts w:hint="eastAsia" w:ascii="宋体" w:hAnsi="宋体"/>
                <w:b/>
                <w:color w:val="auto"/>
                <w:kern w:val="0"/>
                <w:sz w:val="24"/>
                <w:highlight w:val="none"/>
              </w:rPr>
            </w:pPr>
            <w:r>
              <w:rPr>
                <w:rFonts w:hint="eastAsia" w:ascii="宋体" w:hAnsi="宋体"/>
                <w:b/>
                <w:color w:val="auto"/>
                <w:kern w:val="0"/>
                <w:sz w:val="24"/>
                <w:highlight w:val="none"/>
              </w:rPr>
              <w:t>（请填写具体名称）</w:t>
            </w:r>
          </w:p>
          <w:p w14:paraId="2C4D806C">
            <w:pPr>
              <w:spacing w:line="240" w:lineRule="auto"/>
              <w:jc w:val="center"/>
              <w:rPr>
                <w:rFonts w:hint="eastAsia" w:ascii="宋体" w:hAnsi="宋体"/>
                <w:color w:val="auto"/>
                <w:kern w:val="0"/>
                <w:sz w:val="24"/>
                <w:highlight w:val="none"/>
              </w:rPr>
            </w:pPr>
            <w:r>
              <w:rPr>
                <w:rFonts w:hint="eastAsia" w:ascii="宋体" w:hAnsi="宋体"/>
                <w:color w:val="auto"/>
                <w:kern w:val="0"/>
                <w:sz w:val="24"/>
                <w:highlight w:val="none"/>
              </w:rPr>
              <w:t>（盖章）</w:t>
            </w:r>
          </w:p>
        </w:tc>
        <w:tc>
          <w:tcPr>
            <w:tcW w:w="4675" w:type="dxa"/>
            <w:noWrap w:val="0"/>
            <w:vAlign w:val="center"/>
          </w:tcPr>
          <w:p w14:paraId="38DC97E6">
            <w:pPr>
              <w:spacing w:line="240" w:lineRule="auto"/>
              <w:jc w:val="center"/>
              <w:rPr>
                <w:rFonts w:hint="eastAsia" w:ascii="宋体" w:hAnsi="宋体"/>
                <w:color w:val="auto"/>
                <w:kern w:val="0"/>
                <w:sz w:val="24"/>
                <w:highlight w:val="none"/>
              </w:rPr>
            </w:pPr>
            <w:r>
              <w:rPr>
                <w:rFonts w:hint="eastAsia" w:ascii="宋体" w:hAnsi="宋体"/>
                <w:color w:val="auto"/>
                <w:kern w:val="0"/>
                <w:sz w:val="24"/>
                <w:highlight w:val="none"/>
              </w:rPr>
              <w:t>成交供应商全称</w:t>
            </w:r>
          </w:p>
          <w:p w14:paraId="77F8A5F2">
            <w:pPr>
              <w:spacing w:line="240" w:lineRule="auto"/>
              <w:jc w:val="center"/>
              <w:rPr>
                <w:rFonts w:hint="eastAsia" w:ascii="宋体" w:hAnsi="宋体"/>
                <w:b/>
                <w:color w:val="auto"/>
                <w:kern w:val="0"/>
                <w:sz w:val="24"/>
                <w:highlight w:val="none"/>
              </w:rPr>
            </w:pPr>
            <w:r>
              <w:rPr>
                <w:rFonts w:hint="eastAsia" w:ascii="宋体" w:hAnsi="宋体"/>
                <w:b/>
                <w:color w:val="auto"/>
                <w:kern w:val="0"/>
                <w:sz w:val="24"/>
                <w:highlight w:val="none"/>
              </w:rPr>
              <w:t>（请填写具体名称）</w:t>
            </w:r>
          </w:p>
          <w:p w14:paraId="50540E51">
            <w:pPr>
              <w:spacing w:line="240" w:lineRule="auto"/>
              <w:jc w:val="center"/>
              <w:rPr>
                <w:rFonts w:hint="eastAsia" w:ascii="宋体" w:hAnsi="宋体"/>
                <w:color w:val="auto"/>
                <w:kern w:val="0"/>
                <w:sz w:val="24"/>
                <w:highlight w:val="none"/>
              </w:rPr>
            </w:pPr>
            <w:r>
              <w:rPr>
                <w:rFonts w:hint="eastAsia" w:ascii="宋体" w:hAnsi="宋体"/>
                <w:color w:val="auto"/>
                <w:kern w:val="0"/>
                <w:sz w:val="24"/>
                <w:highlight w:val="none"/>
              </w:rPr>
              <w:t>（盖章）</w:t>
            </w:r>
          </w:p>
        </w:tc>
      </w:tr>
      <w:tr w14:paraId="5E115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4404" w:type="dxa"/>
            <w:noWrap w:val="0"/>
            <w:vAlign w:val="top"/>
          </w:tcPr>
          <w:p w14:paraId="3623584B">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 xml:space="preserve">地址： </w:t>
            </w:r>
          </w:p>
        </w:tc>
        <w:tc>
          <w:tcPr>
            <w:tcW w:w="4675" w:type="dxa"/>
            <w:noWrap w:val="0"/>
            <w:vAlign w:val="top"/>
          </w:tcPr>
          <w:p w14:paraId="1B77971B">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地址：</w:t>
            </w:r>
          </w:p>
        </w:tc>
      </w:tr>
      <w:tr w14:paraId="0C041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4404" w:type="dxa"/>
            <w:noWrap w:val="0"/>
            <w:vAlign w:val="top"/>
          </w:tcPr>
          <w:p w14:paraId="368CB373">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邮编：</w:t>
            </w:r>
          </w:p>
        </w:tc>
        <w:tc>
          <w:tcPr>
            <w:tcW w:w="4675" w:type="dxa"/>
            <w:noWrap w:val="0"/>
            <w:vAlign w:val="top"/>
          </w:tcPr>
          <w:p w14:paraId="1ED188F1">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邮编：</w:t>
            </w:r>
          </w:p>
        </w:tc>
      </w:tr>
      <w:tr w14:paraId="24DAB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4404" w:type="dxa"/>
            <w:noWrap w:val="0"/>
            <w:vAlign w:val="top"/>
          </w:tcPr>
          <w:p w14:paraId="23161316">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 xml:space="preserve">法定代表人： </w:t>
            </w:r>
          </w:p>
        </w:tc>
        <w:tc>
          <w:tcPr>
            <w:tcW w:w="4675" w:type="dxa"/>
            <w:noWrap w:val="0"/>
            <w:vAlign w:val="top"/>
          </w:tcPr>
          <w:p w14:paraId="79E23FA2">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法定代表人：</w:t>
            </w:r>
          </w:p>
        </w:tc>
      </w:tr>
      <w:tr w14:paraId="0C1AF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4404" w:type="dxa"/>
            <w:noWrap w:val="0"/>
            <w:vAlign w:val="top"/>
          </w:tcPr>
          <w:p w14:paraId="2A27934C">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被授权代表：（签字）</w:t>
            </w:r>
          </w:p>
        </w:tc>
        <w:tc>
          <w:tcPr>
            <w:tcW w:w="4675" w:type="dxa"/>
            <w:noWrap w:val="0"/>
            <w:vAlign w:val="top"/>
          </w:tcPr>
          <w:p w14:paraId="4203DC07">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被授权代表：（签字）</w:t>
            </w:r>
          </w:p>
        </w:tc>
      </w:tr>
      <w:tr w14:paraId="1B037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4404" w:type="dxa"/>
            <w:noWrap w:val="0"/>
            <w:vAlign w:val="top"/>
          </w:tcPr>
          <w:p w14:paraId="790599C6">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电话：</w:t>
            </w:r>
          </w:p>
        </w:tc>
        <w:tc>
          <w:tcPr>
            <w:tcW w:w="4675" w:type="dxa"/>
            <w:noWrap w:val="0"/>
            <w:vAlign w:val="top"/>
          </w:tcPr>
          <w:p w14:paraId="2C5A75A8">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电话：</w:t>
            </w:r>
          </w:p>
        </w:tc>
      </w:tr>
      <w:tr w14:paraId="058A7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4404" w:type="dxa"/>
            <w:noWrap w:val="0"/>
            <w:vAlign w:val="top"/>
          </w:tcPr>
          <w:p w14:paraId="5650F058">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传真：</w:t>
            </w:r>
          </w:p>
        </w:tc>
        <w:tc>
          <w:tcPr>
            <w:tcW w:w="4675" w:type="dxa"/>
            <w:noWrap w:val="0"/>
            <w:vAlign w:val="top"/>
          </w:tcPr>
          <w:p w14:paraId="2B4AC8E6">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传真：</w:t>
            </w:r>
          </w:p>
        </w:tc>
      </w:tr>
      <w:tr w14:paraId="23A87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4404" w:type="dxa"/>
            <w:noWrap w:val="0"/>
            <w:vAlign w:val="top"/>
          </w:tcPr>
          <w:p w14:paraId="5EB8BF75">
            <w:pPr>
              <w:spacing w:line="360" w:lineRule="auto"/>
              <w:ind w:left="401" w:leftChars="134" w:hanging="120" w:hangingChars="50"/>
              <w:rPr>
                <w:rFonts w:hint="eastAsia" w:ascii="宋体" w:hAnsi="宋体"/>
                <w:color w:val="auto"/>
                <w:kern w:val="0"/>
                <w:sz w:val="24"/>
                <w:highlight w:val="none"/>
              </w:rPr>
            </w:pPr>
          </w:p>
        </w:tc>
        <w:tc>
          <w:tcPr>
            <w:tcW w:w="4675" w:type="dxa"/>
            <w:noWrap w:val="0"/>
            <w:vAlign w:val="top"/>
          </w:tcPr>
          <w:p w14:paraId="48408C45">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开户银行：</w:t>
            </w:r>
          </w:p>
        </w:tc>
      </w:tr>
      <w:tr w14:paraId="57742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4404" w:type="dxa"/>
            <w:noWrap w:val="0"/>
            <w:vAlign w:val="top"/>
          </w:tcPr>
          <w:p w14:paraId="0842D925">
            <w:pPr>
              <w:spacing w:line="360" w:lineRule="auto"/>
              <w:ind w:left="401" w:leftChars="134" w:hanging="120" w:hangingChars="50"/>
              <w:rPr>
                <w:rFonts w:hint="eastAsia" w:ascii="宋体" w:hAnsi="宋体"/>
                <w:color w:val="auto"/>
                <w:kern w:val="0"/>
                <w:sz w:val="24"/>
                <w:highlight w:val="none"/>
              </w:rPr>
            </w:pPr>
          </w:p>
        </w:tc>
        <w:tc>
          <w:tcPr>
            <w:tcW w:w="4675" w:type="dxa"/>
            <w:noWrap w:val="0"/>
            <w:vAlign w:val="top"/>
          </w:tcPr>
          <w:p w14:paraId="6164FE2E">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帐号：</w:t>
            </w:r>
          </w:p>
        </w:tc>
      </w:tr>
      <w:tr w14:paraId="57D2D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4404" w:type="dxa"/>
            <w:noWrap w:val="0"/>
            <w:vAlign w:val="top"/>
          </w:tcPr>
          <w:p w14:paraId="3227617E">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日期：   年   月   日</w:t>
            </w:r>
          </w:p>
        </w:tc>
        <w:tc>
          <w:tcPr>
            <w:tcW w:w="4675" w:type="dxa"/>
            <w:noWrap w:val="0"/>
            <w:vAlign w:val="top"/>
          </w:tcPr>
          <w:p w14:paraId="58305C54">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日期：   年   月   日</w:t>
            </w:r>
          </w:p>
        </w:tc>
      </w:tr>
    </w:tbl>
    <w:p w14:paraId="78183CBB"/>
    <w:sectPr>
      <w:footerReference r:id="rId5" w:type="first"/>
      <w:footerReference r:id="rId3" w:type="default"/>
      <w:footerReference r:id="rId4" w:type="even"/>
      <w:pgSz w:w="11907" w:h="16840"/>
      <w:pgMar w:top="1246" w:right="1418" w:bottom="1247" w:left="1644"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8233AD">
    <w:pPr>
      <w:pStyle w:val="2"/>
      <w:framePr w:wrap="around" w:vAnchor="text" w:hAnchor="margin" w:xAlign="center" w:y="1"/>
      <w:rPr>
        <w:rStyle w:val="5"/>
        <w:rFonts w:hint="eastAsia"/>
      </w:rPr>
    </w:pPr>
    <w:r>
      <w:rPr>
        <w:rStyle w:val="5"/>
        <w:rFonts w:hint="eastAsia"/>
        <w:kern w:val="0"/>
        <w:szCs w:val="21"/>
      </w:rPr>
      <w:t>第</w:t>
    </w:r>
    <w:r>
      <w:fldChar w:fldCharType="begin"/>
    </w:r>
    <w:r>
      <w:rPr>
        <w:rStyle w:val="5"/>
      </w:rPr>
      <w:instrText xml:space="preserve"> PAGE </w:instrText>
    </w:r>
    <w:r>
      <w:fldChar w:fldCharType="separate"/>
    </w:r>
    <w:r>
      <w:rPr>
        <w:rStyle w:val="5"/>
      </w:rPr>
      <w:t>7</w:t>
    </w:r>
    <w:r>
      <w:fldChar w:fldCharType="end"/>
    </w:r>
    <w:r>
      <w:rPr>
        <w:rStyle w:val="5"/>
        <w:rFonts w:hint="eastAsia"/>
        <w:kern w:val="0"/>
        <w:szCs w:val="21"/>
      </w:rPr>
      <w:t>页 共 9 页</w:t>
    </w:r>
  </w:p>
  <w:p w14:paraId="15A05F7A">
    <w:pPr>
      <w:pStyle w:val="2"/>
      <w:jc w:val="center"/>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B91746">
    <w:pPr>
      <w:pStyle w:val="2"/>
      <w:framePr w:wrap="around" w:vAnchor="text" w:hAnchor="margin" w:xAlign="center" w:y="1"/>
      <w:rPr>
        <w:rStyle w:val="5"/>
      </w:rPr>
    </w:pPr>
    <w:r>
      <w:fldChar w:fldCharType="begin"/>
    </w:r>
    <w:r>
      <w:rPr>
        <w:rStyle w:val="5"/>
      </w:rPr>
      <w:instrText xml:space="preserve">PAGE  </w:instrText>
    </w:r>
    <w:r>
      <w:fldChar w:fldCharType="end"/>
    </w:r>
  </w:p>
  <w:p w14:paraId="5CD6414F">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3966DD">
    <w:pPr>
      <w:pStyle w:val="2"/>
      <w:framePr w:wrap="around" w:vAnchor="text" w:hAnchor="margin" w:xAlign="center" w:y="1"/>
      <w:rPr>
        <w:rStyle w:val="5"/>
      </w:rPr>
    </w:pPr>
  </w:p>
  <w:p w14:paraId="41CC79F0">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jMTUwMjhmNmI2ZmVlMTBkYzRmYzI5MTBmNTk5ODUifQ=="/>
  </w:docVars>
  <w:rsids>
    <w:rsidRoot w:val="00000000"/>
    <w:rsid w:val="061D55F2"/>
    <w:rsid w:val="091E4162"/>
    <w:rsid w:val="0C82485C"/>
    <w:rsid w:val="0E7E40C2"/>
    <w:rsid w:val="10815E85"/>
    <w:rsid w:val="14276E77"/>
    <w:rsid w:val="1CBC69DD"/>
    <w:rsid w:val="2D220281"/>
    <w:rsid w:val="44E46DDA"/>
    <w:rsid w:val="51B246F4"/>
    <w:rsid w:val="52CD7A31"/>
    <w:rsid w:val="59CC3145"/>
    <w:rsid w:val="6AE5555F"/>
    <w:rsid w:val="77966CBE"/>
    <w:rsid w:val="78DD60A9"/>
    <w:rsid w:val="7D265CD3"/>
    <w:rsid w:val="7F6627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4932</Words>
  <Characters>4991</Characters>
  <Lines>0</Lines>
  <Paragraphs>0</Paragraphs>
  <TotalTime>3</TotalTime>
  <ScaleCrop>false</ScaleCrop>
  <LinksUpToDate>false</LinksUpToDate>
  <CharactersWithSpaces>5156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2024-06-20T10:04:00Z</dcterms:created>
  <dc:creator>Administrator</dc:creator>
  <cp:lastModifiedBy>刘菲</cp:lastModifiedBy>
  <dcterms:modified xsi:type="dcterms:W3CDTF">2025-05-28T11:43:15Z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C26DE1517894441493CC9301A56ADB30_13</vt:lpwstr>
  </property>
  <property fmtid="{D5CDD505-2E9C-101B-9397-08002B2CF9AE}" pid="4" name="KSOTemplateDocerSaveRecord">
    <vt:lpwstr>eyJoZGlkIjoiNjBjMTUwMjhmNmI2ZmVlMTBkYzRmYzI5MTBmNTk5ODUiLCJ1c2VySWQiOiIzNzMwMTc5MDgifQ==</vt:lpwstr>
  </property>
</Properties>
</file>