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F48EB">
      <w:pPr>
        <w:pageBreakBefore w:val="0"/>
        <w:kinsoku/>
        <w:topLinePunct w:val="0"/>
        <w:bidi w:val="0"/>
        <w:spacing w:line="360" w:lineRule="auto"/>
        <w:ind w:firstLine="420" w:firstLineChars="200"/>
        <w:jc w:val="center"/>
        <w:rPr>
          <w:rFonts w:ascii="宋体" w:hAnsi="宋体"/>
          <w:szCs w:val="21"/>
          <w:highlight w:val="none"/>
        </w:rPr>
      </w:pPr>
      <w:r>
        <w:rPr>
          <w:rFonts w:hint="eastAsia" w:ascii="宋体" w:hAnsi="宋体"/>
          <w:szCs w:val="21"/>
          <w:highlight w:val="none"/>
        </w:rPr>
        <w:t>（本格式条款供甲乙双方签订合同参考，可根据项目的实际情况增减条款和内容）</w:t>
      </w:r>
    </w:p>
    <w:p w14:paraId="0FF1669D">
      <w:pPr>
        <w:pageBreakBefore w:val="0"/>
        <w:kinsoku/>
        <w:topLinePunct w:val="0"/>
        <w:bidi w:val="0"/>
        <w:rPr>
          <w:rFonts w:hint="eastAsia" w:ascii="宋体" w:hAnsi="宋体"/>
          <w:b/>
          <w:sz w:val="32"/>
          <w:szCs w:val="32"/>
          <w:highlight w:val="none"/>
        </w:rPr>
      </w:pPr>
      <w:r>
        <w:rPr>
          <w:rFonts w:hint="eastAsia" w:ascii="宋体" w:hAnsi="宋体"/>
          <w:b/>
          <w:sz w:val="32"/>
          <w:szCs w:val="32"/>
          <w:highlight w:val="none"/>
        </w:rPr>
        <w:t>政府采购项目</w:t>
      </w:r>
    </w:p>
    <w:p w14:paraId="2AA3565A">
      <w:pPr>
        <w:pageBreakBefore w:val="0"/>
        <w:kinsoku/>
        <w:topLinePunct w:val="0"/>
        <w:bidi w:val="0"/>
        <w:rPr>
          <w:rFonts w:hint="eastAsia" w:ascii="宋体" w:hAnsi="宋体"/>
          <w:sz w:val="52"/>
          <w:szCs w:val="52"/>
          <w:highlight w:val="none"/>
        </w:rPr>
      </w:pPr>
    </w:p>
    <w:p w14:paraId="4297236C">
      <w:pPr>
        <w:pageBreakBefore w:val="0"/>
        <w:kinsoku/>
        <w:topLinePunct w:val="0"/>
        <w:bidi w:val="0"/>
        <w:ind w:firstLine="1891" w:firstLineChars="350"/>
        <w:rPr>
          <w:rFonts w:hint="eastAsia" w:ascii="宋体" w:hAnsi="宋体"/>
          <w:b/>
          <w:spacing w:val="-20"/>
          <w:sz w:val="58"/>
          <w:szCs w:val="58"/>
          <w:highlight w:val="none"/>
        </w:rPr>
      </w:pPr>
      <w:r>
        <w:rPr>
          <w:rFonts w:hint="eastAsia" w:ascii="宋体" w:hAnsi="宋体"/>
          <w:b/>
          <w:spacing w:val="-20"/>
          <w:sz w:val="58"/>
          <w:szCs w:val="58"/>
          <w:highlight w:val="none"/>
        </w:rPr>
        <w:t>X X X X X X（项目名称）</w:t>
      </w:r>
    </w:p>
    <w:p w14:paraId="27884D03">
      <w:pPr>
        <w:pageBreakBefore w:val="0"/>
        <w:kinsoku/>
        <w:topLinePunct w:val="0"/>
        <w:bidi w:val="0"/>
        <w:jc w:val="center"/>
        <w:rPr>
          <w:rFonts w:hint="eastAsia" w:ascii="宋体" w:hAnsi="宋体"/>
          <w:b/>
          <w:sz w:val="72"/>
          <w:szCs w:val="72"/>
          <w:highlight w:val="none"/>
        </w:rPr>
      </w:pPr>
    </w:p>
    <w:p w14:paraId="7CDE6891">
      <w:pPr>
        <w:pageBreakBefore w:val="0"/>
        <w:kinsoku/>
        <w:topLinePunct w:val="0"/>
        <w:bidi w:val="0"/>
        <w:jc w:val="center"/>
        <w:rPr>
          <w:rFonts w:hint="eastAsia" w:ascii="宋体" w:hAnsi="宋体"/>
          <w:b/>
          <w:sz w:val="72"/>
          <w:szCs w:val="72"/>
          <w:highlight w:val="none"/>
        </w:rPr>
      </w:pPr>
    </w:p>
    <w:p w14:paraId="1D5045DA">
      <w:pPr>
        <w:pageBreakBefore w:val="0"/>
        <w:kinsoku/>
        <w:topLinePunct w:val="0"/>
        <w:bidi w:val="0"/>
        <w:jc w:val="center"/>
        <w:rPr>
          <w:rFonts w:hint="eastAsia" w:ascii="宋体" w:hAnsi="宋体"/>
          <w:b/>
          <w:sz w:val="72"/>
          <w:szCs w:val="72"/>
          <w:highlight w:val="none"/>
        </w:rPr>
      </w:pPr>
      <w:r>
        <w:rPr>
          <w:rFonts w:hint="eastAsia" w:ascii="宋体" w:hAnsi="宋体"/>
          <w:b/>
          <w:sz w:val="72"/>
          <w:szCs w:val="72"/>
          <w:highlight w:val="none"/>
        </w:rPr>
        <w:t>服 务 合 同</w:t>
      </w:r>
    </w:p>
    <w:p w14:paraId="3A181C79">
      <w:pPr>
        <w:pageBreakBefore w:val="0"/>
        <w:kinsoku/>
        <w:topLinePunct w:val="0"/>
        <w:bidi w:val="0"/>
        <w:jc w:val="center"/>
        <w:rPr>
          <w:rFonts w:hint="eastAsia" w:ascii="宋体" w:hAnsi="宋体"/>
          <w:sz w:val="30"/>
          <w:szCs w:val="30"/>
          <w:highlight w:val="none"/>
        </w:rPr>
      </w:pPr>
      <w:r>
        <w:rPr>
          <w:rFonts w:hint="eastAsia" w:ascii="宋体" w:hAnsi="宋体"/>
          <w:sz w:val="30"/>
          <w:szCs w:val="30"/>
          <w:highlight w:val="none"/>
        </w:rPr>
        <w:t>（编号：        ）</w:t>
      </w:r>
    </w:p>
    <w:p w14:paraId="78E7506C">
      <w:pPr>
        <w:pageBreakBefore w:val="0"/>
        <w:kinsoku/>
        <w:topLinePunct w:val="0"/>
        <w:bidi w:val="0"/>
        <w:jc w:val="center"/>
        <w:rPr>
          <w:rFonts w:hint="eastAsia" w:ascii="宋体" w:hAnsi="宋体"/>
          <w:sz w:val="30"/>
          <w:szCs w:val="30"/>
          <w:highlight w:val="none"/>
        </w:rPr>
      </w:pPr>
      <w:r>
        <w:rPr>
          <w:rFonts w:hint="eastAsia" w:ascii="宋体" w:hAnsi="宋体"/>
          <w:sz w:val="30"/>
          <w:szCs w:val="30"/>
          <w:highlight w:val="none"/>
        </w:rPr>
        <w:t xml:space="preserve"> </w:t>
      </w:r>
    </w:p>
    <w:p w14:paraId="3775E084">
      <w:pPr>
        <w:pageBreakBefore w:val="0"/>
        <w:kinsoku/>
        <w:topLinePunct w:val="0"/>
        <w:bidi w:val="0"/>
        <w:jc w:val="center"/>
        <w:rPr>
          <w:rFonts w:hint="eastAsia" w:ascii="宋体" w:hAnsi="宋体"/>
          <w:sz w:val="30"/>
          <w:szCs w:val="30"/>
          <w:highlight w:val="none"/>
        </w:rPr>
      </w:pPr>
    </w:p>
    <w:p w14:paraId="6BFE7C4C">
      <w:pPr>
        <w:pageBreakBefore w:val="0"/>
        <w:kinsoku/>
        <w:topLinePunct w:val="0"/>
        <w:bidi w:val="0"/>
        <w:jc w:val="center"/>
        <w:rPr>
          <w:rFonts w:hint="eastAsia" w:ascii="宋体" w:hAnsi="宋体"/>
          <w:sz w:val="30"/>
          <w:szCs w:val="30"/>
          <w:highlight w:val="none"/>
        </w:rPr>
      </w:pPr>
    </w:p>
    <w:p w14:paraId="5A1D1662">
      <w:pPr>
        <w:pageBreakBefore w:val="0"/>
        <w:kinsoku/>
        <w:topLinePunct w:val="0"/>
        <w:bidi w:val="0"/>
        <w:rPr>
          <w:rFonts w:hint="eastAsia" w:ascii="宋体" w:hAnsi="宋体"/>
          <w:sz w:val="30"/>
          <w:szCs w:val="30"/>
          <w:highlight w:val="none"/>
        </w:rPr>
      </w:pPr>
    </w:p>
    <w:p w14:paraId="339320BA">
      <w:pPr>
        <w:pageBreakBefore w:val="0"/>
        <w:kinsoku/>
        <w:topLinePunct w:val="0"/>
        <w:bidi w:val="0"/>
        <w:jc w:val="center"/>
        <w:rPr>
          <w:rFonts w:hint="eastAsia" w:ascii="宋体" w:hAnsi="宋体"/>
          <w:sz w:val="30"/>
          <w:szCs w:val="30"/>
          <w:highlight w:val="none"/>
        </w:rPr>
      </w:pPr>
    </w:p>
    <w:p w14:paraId="1475B54F">
      <w:pPr>
        <w:pageBreakBefore w:val="0"/>
        <w:kinsoku/>
        <w:topLinePunct w:val="0"/>
        <w:bidi w:val="0"/>
        <w:spacing w:line="720" w:lineRule="auto"/>
        <w:ind w:firstLine="2124" w:firstLineChars="664"/>
        <w:rPr>
          <w:rFonts w:hint="eastAsia" w:ascii="宋体" w:hAnsi="宋体"/>
          <w:sz w:val="32"/>
          <w:szCs w:val="32"/>
          <w:highlight w:val="none"/>
        </w:rPr>
      </w:pPr>
      <w:r>
        <w:rPr>
          <w:rFonts w:hint="eastAsia" w:ascii="宋体" w:hAnsi="宋体"/>
          <w:sz w:val="32"/>
          <w:szCs w:val="32"/>
          <w:highlight w:val="none"/>
        </w:rPr>
        <w:t>甲  方：XXXXXXX</w:t>
      </w:r>
    </w:p>
    <w:p w14:paraId="664B21D3">
      <w:pPr>
        <w:pageBreakBefore w:val="0"/>
        <w:tabs>
          <w:tab w:val="left" w:pos="480"/>
        </w:tabs>
        <w:kinsoku/>
        <w:topLinePunct w:val="0"/>
        <w:bidi w:val="0"/>
        <w:spacing w:line="720" w:lineRule="auto"/>
        <w:ind w:firstLine="2124" w:firstLineChars="664"/>
        <w:rPr>
          <w:rFonts w:hint="eastAsia" w:ascii="宋体" w:hAnsi="宋体"/>
          <w:sz w:val="32"/>
          <w:szCs w:val="32"/>
          <w:highlight w:val="none"/>
        </w:rPr>
      </w:pPr>
      <w:r>
        <w:rPr>
          <w:rFonts w:hint="eastAsia" w:ascii="宋体" w:hAnsi="宋体"/>
          <w:sz w:val="32"/>
          <w:szCs w:val="32"/>
          <w:highlight w:val="none"/>
        </w:rPr>
        <w:t>乙  方：XXXXXXX</w:t>
      </w:r>
    </w:p>
    <w:p w14:paraId="644F60AC">
      <w:pPr>
        <w:pageBreakBefore w:val="0"/>
        <w:kinsoku/>
        <w:topLinePunct w:val="0"/>
        <w:bidi w:val="0"/>
        <w:jc w:val="center"/>
        <w:rPr>
          <w:rFonts w:hint="eastAsia" w:ascii="宋体" w:hAnsi="宋体" w:eastAsia="宋体"/>
          <w:bCs/>
          <w:sz w:val="32"/>
          <w:szCs w:val="21"/>
          <w:highlight w:val="none"/>
          <w:lang w:val="en-US" w:eastAsia="zh-CN"/>
        </w:rPr>
      </w:pPr>
      <w:r>
        <w:rPr>
          <w:rFonts w:hint="eastAsia" w:ascii="宋体" w:hAnsi="宋体" w:eastAsia="宋体"/>
          <w:bCs/>
          <w:sz w:val="32"/>
          <w:szCs w:val="21"/>
          <w:highlight w:val="none"/>
          <w:lang w:val="en-US" w:eastAsia="zh-CN"/>
        </w:rPr>
        <w:t xml:space="preserve"> </w:t>
      </w:r>
    </w:p>
    <w:p w14:paraId="30DEF00E">
      <w:pPr>
        <w:pStyle w:val="2"/>
        <w:rPr>
          <w:rFonts w:hint="eastAsia" w:ascii="宋体" w:hAnsi="宋体" w:eastAsia="宋体"/>
          <w:bCs/>
          <w:sz w:val="32"/>
          <w:szCs w:val="21"/>
          <w:highlight w:val="none"/>
          <w:lang w:val="en-US" w:eastAsia="zh-CN"/>
        </w:rPr>
      </w:pPr>
    </w:p>
    <w:p w14:paraId="245B9CCF">
      <w:pPr>
        <w:rPr>
          <w:rFonts w:hint="eastAsia" w:ascii="宋体" w:hAnsi="宋体" w:eastAsia="宋体"/>
          <w:bCs/>
          <w:sz w:val="32"/>
          <w:szCs w:val="21"/>
          <w:highlight w:val="none"/>
          <w:lang w:val="en-US" w:eastAsia="zh-CN"/>
        </w:rPr>
      </w:pPr>
    </w:p>
    <w:p w14:paraId="583E19CF">
      <w:pPr>
        <w:pStyle w:val="2"/>
        <w:rPr>
          <w:rFonts w:hint="eastAsia"/>
          <w:lang w:eastAsia="zh-CN"/>
        </w:rPr>
      </w:pPr>
    </w:p>
    <w:p w14:paraId="2D0B5F52">
      <w:pPr>
        <w:pageBreakBefore w:val="0"/>
        <w:kinsoku/>
        <w:topLinePunct w:val="0"/>
        <w:bidi w:val="0"/>
        <w:jc w:val="center"/>
        <w:rPr>
          <w:rFonts w:hint="eastAsia" w:ascii="宋体" w:hAnsi="宋体"/>
          <w:sz w:val="32"/>
          <w:szCs w:val="32"/>
          <w:highlight w:val="none"/>
        </w:rPr>
      </w:pPr>
      <w:r>
        <w:rPr>
          <w:rFonts w:hint="eastAsia" w:ascii="宋体" w:hAnsi="宋体"/>
          <w:sz w:val="32"/>
          <w:szCs w:val="32"/>
          <w:highlight w:val="none"/>
        </w:rPr>
        <w:t>202X年XX月</w:t>
      </w:r>
    </w:p>
    <w:p w14:paraId="247098BC">
      <w:pPr>
        <w:pageBreakBefore w:val="0"/>
        <w:kinsoku/>
        <w:topLinePunct w:val="0"/>
        <w:bidi w:val="0"/>
        <w:jc w:val="center"/>
        <w:rPr>
          <w:rFonts w:hint="eastAsia" w:ascii="宋体" w:hAnsi="宋体"/>
          <w:b/>
          <w:sz w:val="36"/>
          <w:szCs w:val="36"/>
          <w:highlight w:val="none"/>
        </w:rPr>
      </w:pPr>
      <w:r>
        <w:rPr>
          <w:rFonts w:hint="eastAsia" w:ascii="宋体" w:hAnsi="宋体"/>
          <w:sz w:val="32"/>
          <w:szCs w:val="32"/>
          <w:highlight w:val="none"/>
        </w:rPr>
        <w:t>中国  西安</w:t>
      </w:r>
    </w:p>
    <w:p w14:paraId="5BAB42DF">
      <w:pPr>
        <w:pageBreakBefore w:val="0"/>
        <w:kinsoku/>
        <w:topLinePunct w:val="0"/>
        <w:bidi w:val="0"/>
        <w:spacing w:line="360" w:lineRule="auto"/>
        <w:ind w:firstLine="480" w:firstLineChars="200"/>
        <w:rPr>
          <w:rFonts w:hint="eastAsia" w:ascii="宋体" w:hAnsi="宋体" w:cs="宋体"/>
          <w:sz w:val="24"/>
          <w:highlight w:val="none"/>
        </w:rPr>
      </w:pPr>
      <w:r>
        <w:rPr>
          <w:rFonts w:ascii="宋体" w:hAnsi="宋体"/>
          <w:color w:val="000000"/>
          <w:spacing w:val="-20"/>
          <w:kern w:val="0"/>
          <w:sz w:val="28"/>
          <w:szCs w:val="20"/>
          <w:highlight w:val="none"/>
        </w:rPr>
        <w:br w:type="page"/>
      </w:r>
    </w:p>
    <w:p w14:paraId="3AF1298F">
      <w:pPr>
        <w:pageBreakBefore w:val="0"/>
        <w:kinsoku/>
        <w:topLinePunct w:val="0"/>
        <w:bidi w:val="0"/>
        <w:spacing w:line="360" w:lineRule="auto"/>
        <w:jc w:val="center"/>
        <w:rPr>
          <w:rFonts w:ascii="宋体" w:hAnsi="宋体"/>
          <w:b/>
          <w:sz w:val="32"/>
          <w:szCs w:val="24"/>
          <w:highlight w:val="none"/>
        </w:rPr>
      </w:pPr>
      <w:r>
        <w:rPr>
          <w:rFonts w:hint="eastAsia" w:ascii="宋体" w:hAnsi="宋体"/>
          <w:b/>
          <w:sz w:val="32"/>
          <w:szCs w:val="24"/>
          <w:highlight w:val="none"/>
        </w:rPr>
        <w:t>服 务 合 同</w:t>
      </w:r>
    </w:p>
    <w:p w14:paraId="7061B467">
      <w:pPr>
        <w:keepNext w:val="0"/>
        <w:keepLines w:val="0"/>
        <w:pageBreakBefore w:val="0"/>
        <w:widowControl/>
        <w:kinsoku/>
        <w:wordWrap/>
        <w:overflowPunct/>
        <w:topLinePunct w:val="0"/>
        <w:autoSpaceDE w:val="0"/>
        <w:autoSpaceDN w:val="0"/>
        <w:bidi w:val="0"/>
        <w:adjustRightInd w:val="0"/>
        <w:snapToGrid w:val="0"/>
        <w:spacing w:line="480" w:lineRule="auto"/>
        <w:textAlignment w:val="baseline"/>
        <w:rPr>
          <w:rFonts w:hint="eastAsia" w:ascii="宋体" w:hAnsi="宋体" w:eastAsia="宋体"/>
          <w:b/>
          <w:bCs/>
          <w:szCs w:val="21"/>
          <w:highlight w:val="none"/>
          <w:u w:val="single"/>
          <w:lang w:val="en-US" w:eastAsia="zh-CN"/>
        </w:rPr>
      </w:pPr>
      <w:r>
        <w:rPr>
          <w:rFonts w:hint="eastAsia" w:ascii="宋体" w:hAnsi="宋体"/>
          <w:b/>
          <w:bCs/>
          <w:szCs w:val="21"/>
          <w:highlight w:val="none"/>
        </w:rPr>
        <w:t xml:space="preserve">甲 </w:t>
      </w:r>
      <w:r>
        <w:rPr>
          <w:rFonts w:ascii="宋体" w:hAnsi="宋体"/>
          <w:b/>
          <w:bCs/>
          <w:szCs w:val="21"/>
          <w:highlight w:val="none"/>
        </w:rPr>
        <w:t xml:space="preserve"> </w:t>
      </w:r>
      <w:r>
        <w:rPr>
          <w:rFonts w:hint="eastAsia" w:ascii="宋体" w:hAnsi="宋体"/>
          <w:b/>
          <w:bCs/>
          <w:szCs w:val="21"/>
          <w:highlight w:val="none"/>
        </w:rPr>
        <w:t>方：</w:t>
      </w:r>
      <w:r>
        <w:rPr>
          <w:rFonts w:hint="eastAsia" w:ascii="宋体" w:hAnsi="宋体" w:eastAsia="宋体"/>
          <w:b/>
          <w:bCs/>
          <w:szCs w:val="21"/>
          <w:highlight w:val="none"/>
          <w:lang w:val="en-US" w:eastAsia="zh-CN"/>
        </w:rPr>
        <w:t xml:space="preserve"> </w:t>
      </w:r>
      <w:r>
        <w:rPr>
          <w:rFonts w:hint="eastAsia" w:ascii="宋体" w:hAnsi="宋体" w:eastAsia="宋体"/>
          <w:b/>
          <w:bCs/>
          <w:szCs w:val="21"/>
          <w:highlight w:val="none"/>
          <w:u w:val="single"/>
          <w:lang w:val="en-US" w:eastAsia="zh-CN"/>
        </w:rPr>
        <w:t xml:space="preserve">                       </w:t>
      </w:r>
    </w:p>
    <w:p w14:paraId="5DC13321">
      <w:pPr>
        <w:keepNext w:val="0"/>
        <w:keepLines w:val="0"/>
        <w:pageBreakBefore w:val="0"/>
        <w:widowControl/>
        <w:kinsoku/>
        <w:wordWrap/>
        <w:overflowPunct/>
        <w:topLinePunct w:val="0"/>
        <w:autoSpaceDE w:val="0"/>
        <w:autoSpaceDN w:val="0"/>
        <w:bidi w:val="0"/>
        <w:adjustRightInd w:val="0"/>
        <w:snapToGrid w:val="0"/>
        <w:spacing w:line="480" w:lineRule="auto"/>
        <w:textAlignment w:val="baseline"/>
        <w:rPr>
          <w:rFonts w:ascii="宋体" w:hAnsi="宋体"/>
          <w:b/>
          <w:bCs/>
          <w:szCs w:val="21"/>
          <w:highlight w:val="none"/>
          <w:u w:val="single"/>
        </w:rPr>
      </w:pPr>
      <w:r>
        <w:rPr>
          <w:rFonts w:hint="eastAsia" w:ascii="宋体" w:hAnsi="宋体"/>
          <w:b/>
          <w:bCs/>
          <w:szCs w:val="21"/>
          <w:highlight w:val="none"/>
        </w:rPr>
        <w:t xml:space="preserve">乙 </w:t>
      </w:r>
      <w:r>
        <w:rPr>
          <w:rFonts w:ascii="宋体" w:hAnsi="宋体"/>
          <w:b/>
          <w:bCs/>
          <w:szCs w:val="21"/>
          <w:highlight w:val="none"/>
        </w:rPr>
        <w:t xml:space="preserve"> </w:t>
      </w:r>
      <w:r>
        <w:rPr>
          <w:rFonts w:hint="eastAsia" w:ascii="宋体" w:hAnsi="宋体"/>
          <w:b/>
          <w:bCs/>
          <w:szCs w:val="21"/>
          <w:highlight w:val="none"/>
        </w:rPr>
        <w:t>方：</w:t>
      </w:r>
      <w:r>
        <w:rPr>
          <w:rFonts w:hint="eastAsia" w:ascii="宋体" w:hAnsi="宋体"/>
          <w:b/>
          <w:bCs/>
          <w:szCs w:val="21"/>
          <w:highlight w:val="none"/>
          <w:u w:val="single"/>
        </w:rPr>
        <w:t xml:space="preserve"> </w:t>
      </w:r>
      <w:r>
        <w:rPr>
          <w:rFonts w:ascii="宋体" w:hAnsi="宋体"/>
          <w:b/>
          <w:bCs/>
          <w:szCs w:val="21"/>
          <w:highlight w:val="none"/>
          <w:u w:val="single"/>
        </w:rPr>
        <w:t xml:space="preserve">  </w:t>
      </w:r>
      <w:r>
        <w:rPr>
          <w:rFonts w:hint="eastAsia" w:ascii="宋体" w:hAnsi="宋体"/>
          <w:b/>
          <w:bCs/>
          <w:szCs w:val="21"/>
          <w:highlight w:val="none"/>
          <w:u w:val="single"/>
        </w:rPr>
        <w:t>（供应商名称全称）</w:t>
      </w:r>
      <w:r>
        <w:rPr>
          <w:rFonts w:ascii="宋体" w:hAnsi="宋体"/>
          <w:b/>
          <w:bCs/>
          <w:szCs w:val="21"/>
          <w:highlight w:val="none"/>
          <w:u w:val="single"/>
        </w:rPr>
        <w:t xml:space="preserve">   </w:t>
      </w:r>
    </w:p>
    <w:p w14:paraId="309F7E3A">
      <w:pPr>
        <w:pageBreakBefore w:val="0"/>
        <w:kinsoku/>
        <w:topLinePunct w:val="0"/>
        <w:bidi w:val="0"/>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招标代理方</w:t>
      </w:r>
      <w:r>
        <w:rPr>
          <w:rFonts w:hint="eastAsia" w:ascii="宋体" w:hAnsi="宋体"/>
          <w:szCs w:val="21"/>
          <w:highlight w:val="none"/>
        </w:rPr>
        <w:t>就甲方所需服务，在</w:t>
      </w:r>
      <w:r>
        <w:rPr>
          <w:rFonts w:hint="eastAsia" w:ascii="宋体" w:hAnsi="宋体" w:eastAsia="宋体"/>
          <w:szCs w:val="21"/>
          <w:highlight w:val="none"/>
          <w:lang w:eastAsia="zh-CN"/>
        </w:rPr>
        <w:t>陕西省财政厅</w:t>
      </w:r>
      <w:r>
        <w:rPr>
          <w:rFonts w:hint="eastAsia" w:ascii="宋体" w:hAnsi="宋体"/>
          <w:szCs w:val="21"/>
          <w:highlight w:val="none"/>
        </w:rPr>
        <w:t>的监督管理下，按照政府采购程序组织公开招标，确定乙方为</w:t>
      </w:r>
      <w:r>
        <w:rPr>
          <w:rFonts w:hint="eastAsia" w:ascii="宋体" w:hAnsi="宋体" w:eastAsia="宋体"/>
          <w:szCs w:val="21"/>
          <w:highlight w:val="none"/>
          <w:u w:val="single"/>
          <w:lang w:val="en-US" w:eastAsia="zh-CN"/>
        </w:rPr>
        <w:t xml:space="preserve">      （项目名称） 、（项目编号）  </w:t>
      </w:r>
      <w:r>
        <w:rPr>
          <w:rFonts w:hint="eastAsia" w:ascii="宋体" w:hAnsi="宋体" w:eastAsia="宋体"/>
          <w:szCs w:val="21"/>
          <w:highlight w:val="none"/>
          <w:lang w:val="en-US" w:eastAsia="zh-CN"/>
        </w:rPr>
        <w:t xml:space="preserve"> </w:t>
      </w:r>
      <w:r>
        <w:rPr>
          <w:rFonts w:hint="eastAsia" w:ascii="宋体" w:hAnsi="宋体"/>
          <w:szCs w:val="21"/>
          <w:highlight w:val="none"/>
        </w:rPr>
        <w:t>中标供应商。依据《中华人民共和国政府采购法》、《中华人民共和国民法典》以及招标文件、中标通知书，经甲、乙双方协商，达成如下合同条款。</w:t>
      </w:r>
    </w:p>
    <w:p w14:paraId="0748807E">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一、合同标的物内容及数量（以投标文件正本和澄清表〈函〉为准）</w:t>
      </w:r>
    </w:p>
    <w:tbl>
      <w:tblPr>
        <w:tblStyle w:val="4"/>
        <w:tblW w:w="8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11"/>
        <w:gridCol w:w="2622"/>
        <w:gridCol w:w="1312"/>
        <w:gridCol w:w="954"/>
        <w:gridCol w:w="954"/>
        <w:gridCol w:w="954"/>
      </w:tblGrid>
      <w:tr w14:paraId="46E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vAlign w:val="center"/>
          </w:tcPr>
          <w:p w14:paraId="1C1C3C87">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序号</w:t>
            </w:r>
          </w:p>
        </w:tc>
        <w:tc>
          <w:tcPr>
            <w:tcW w:w="1311" w:type="dxa"/>
            <w:vAlign w:val="center"/>
          </w:tcPr>
          <w:p w14:paraId="0058FC7E">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服务名称</w:t>
            </w:r>
          </w:p>
        </w:tc>
        <w:tc>
          <w:tcPr>
            <w:tcW w:w="2622" w:type="dxa"/>
            <w:vAlign w:val="center"/>
          </w:tcPr>
          <w:p w14:paraId="5C38632B">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服务内容</w:t>
            </w:r>
          </w:p>
        </w:tc>
        <w:tc>
          <w:tcPr>
            <w:tcW w:w="1312" w:type="dxa"/>
            <w:vAlign w:val="center"/>
          </w:tcPr>
          <w:p w14:paraId="4B3D6C5C">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计量单位</w:t>
            </w:r>
          </w:p>
        </w:tc>
        <w:tc>
          <w:tcPr>
            <w:tcW w:w="954" w:type="dxa"/>
            <w:vAlign w:val="center"/>
          </w:tcPr>
          <w:p w14:paraId="02FAD58D">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数量</w:t>
            </w:r>
          </w:p>
        </w:tc>
        <w:tc>
          <w:tcPr>
            <w:tcW w:w="954" w:type="dxa"/>
            <w:vAlign w:val="center"/>
          </w:tcPr>
          <w:p w14:paraId="0AC28030">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单价（元）</w:t>
            </w:r>
          </w:p>
        </w:tc>
        <w:tc>
          <w:tcPr>
            <w:tcW w:w="954" w:type="dxa"/>
            <w:vAlign w:val="center"/>
          </w:tcPr>
          <w:p w14:paraId="5A17EF85">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总价（元）</w:t>
            </w:r>
          </w:p>
        </w:tc>
      </w:tr>
      <w:tr w14:paraId="26C20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739" w:type="dxa"/>
            <w:vAlign w:val="center"/>
          </w:tcPr>
          <w:p w14:paraId="42265FCC">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1</w:t>
            </w:r>
          </w:p>
        </w:tc>
        <w:tc>
          <w:tcPr>
            <w:tcW w:w="1311" w:type="dxa"/>
            <w:vAlign w:val="center"/>
          </w:tcPr>
          <w:p w14:paraId="4E1BAB49">
            <w:pPr>
              <w:pageBreakBefore w:val="0"/>
              <w:tabs>
                <w:tab w:val="left" w:pos="480"/>
              </w:tabs>
              <w:kinsoku/>
              <w:topLinePunct w:val="0"/>
              <w:bidi w:val="0"/>
              <w:jc w:val="center"/>
              <w:rPr>
                <w:rFonts w:ascii="宋体" w:hAnsi="宋体"/>
                <w:color w:val="000000"/>
                <w:kern w:val="0"/>
                <w:szCs w:val="21"/>
                <w:highlight w:val="none"/>
              </w:rPr>
            </w:pPr>
          </w:p>
        </w:tc>
        <w:tc>
          <w:tcPr>
            <w:tcW w:w="2622" w:type="dxa"/>
            <w:vAlign w:val="center"/>
          </w:tcPr>
          <w:p w14:paraId="4D8ECB98">
            <w:pPr>
              <w:pageBreakBefore w:val="0"/>
              <w:tabs>
                <w:tab w:val="left" w:pos="480"/>
              </w:tabs>
              <w:kinsoku/>
              <w:topLinePunct w:val="0"/>
              <w:bidi w:val="0"/>
              <w:jc w:val="center"/>
              <w:rPr>
                <w:rFonts w:ascii="宋体" w:hAnsi="宋体"/>
                <w:color w:val="000000"/>
                <w:kern w:val="0"/>
                <w:szCs w:val="21"/>
                <w:highlight w:val="none"/>
              </w:rPr>
            </w:pPr>
          </w:p>
        </w:tc>
        <w:tc>
          <w:tcPr>
            <w:tcW w:w="1312" w:type="dxa"/>
            <w:vAlign w:val="center"/>
          </w:tcPr>
          <w:p w14:paraId="6F095B16">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1E78CFC9">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78634EDE">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39B82EDA">
            <w:pPr>
              <w:pageBreakBefore w:val="0"/>
              <w:tabs>
                <w:tab w:val="left" w:pos="480"/>
              </w:tabs>
              <w:kinsoku/>
              <w:topLinePunct w:val="0"/>
              <w:bidi w:val="0"/>
              <w:jc w:val="center"/>
              <w:rPr>
                <w:rFonts w:ascii="宋体" w:hAnsi="宋体"/>
                <w:color w:val="000000"/>
                <w:kern w:val="0"/>
                <w:szCs w:val="21"/>
                <w:highlight w:val="none"/>
              </w:rPr>
            </w:pPr>
          </w:p>
        </w:tc>
      </w:tr>
      <w:tr w14:paraId="423F8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39" w:type="dxa"/>
            <w:vAlign w:val="center"/>
          </w:tcPr>
          <w:p w14:paraId="06A4ECDF">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2</w:t>
            </w:r>
          </w:p>
        </w:tc>
        <w:tc>
          <w:tcPr>
            <w:tcW w:w="1311" w:type="dxa"/>
            <w:vAlign w:val="center"/>
          </w:tcPr>
          <w:p w14:paraId="254B815D">
            <w:pPr>
              <w:pageBreakBefore w:val="0"/>
              <w:tabs>
                <w:tab w:val="left" w:pos="480"/>
              </w:tabs>
              <w:kinsoku/>
              <w:topLinePunct w:val="0"/>
              <w:bidi w:val="0"/>
              <w:jc w:val="center"/>
              <w:rPr>
                <w:rFonts w:ascii="宋体" w:hAnsi="宋体"/>
                <w:color w:val="000000"/>
                <w:kern w:val="0"/>
                <w:szCs w:val="21"/>
                <w:highlight w:val="none"/>
              </w:rPr>
            </w:pPr>
          </w:p>
        </w:tc>
        <w:tc>
          <w:tcPr>
            <w:tcW w:w="2622" w:type="dxa"/>
            <w:vAlign w:val="center"/>
          </w:tcPr>
          <w:p w14:paraId="5D5F5F8B">
            <w:pPr>
              <w:pageBreakBefore w:val="0"/>
              <w:tabs>
                <w:tab w:val="left" w:pos="480"/>
              </w:tabs>
              <w:kinsoku/>
              <w:topLinePunct w:val="0"/>
              <w:bidi w:val="0"/>
              <w:jc w:val="center"/>
              <w:rPr>
                <w:rFonts w:ascii="宋体" w:hAnsi="宋体"/>
                <w:color w:val="000000"/>
                <w:kern w:val="0"/>
                <w:szCs w:val="21"/>
                <w:highlight w:val="none"/>
              </w:rPr>
            </w:pPr>
          </w:p>
        </w:tc>
        <w:tc>
          <w:tcPr>
            <w:tcW w:w="1312" w:type="dxa"/>
            <w:vAlign w:val="center"/>
          </w:tcPr>
          <w:p w14:paraId="50565274">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0EB84CA6">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7188AE5E">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41C4E9B0">
            <w:pPr>
              <w:pageBreakBefore w:val="0"/>
              <w:tabs>
                <w:tab w:val="left" w:pos="480"/>
              </w:tabs>
              <w:kinsoku/>
              <w:topLinePunct w:val="0"/>
              <w:bidi w:val="0"/>
              <w:jc w:val="center"/>
              <w:rPr>
                <w:rFonts w:ascii="宋体" w:hAnsi="宋体"/>
                <w:color w:val="000000"/>
                <w:kern w:val="0"/>
                <w:szCs w:val="21"/>
                <w:highlight w:val="none"/>
              </w:rPr>
            </w:pPr>
          </w:p>
        </w:tc>
      </w:tr>
      <w:tr w14:paraId="7146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39" w:type="dxa"/>
            <w:vAlign w:val="center"/>
          </w:tcPr>
          <w:p w14:paraId="0F5CA3B3">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3</w:t>
            </w:r>
          </w:p>
        </w:tc>
        <w:tc>
          <w:tcPr>
            <w:tcW w:w="1311" w:type="dxa"/>
            <w:vAlign w:val="center"/>
          </w:tcPr>
          <w:p w14:paraId="33C9226F">
            <w:pPr>
              <w:pageBreakBefore w:val="0"/>
              <w:tabs>
                <w:tab w:val="left" w:pos="480"/>
              </w:tabs>
              <w:kinsoku/>
              <w:topLinePunct w:val="0"/>
              <w:bidi w:val="0"/>
              <w:jc w:val="center"/>
              <w:rPr>
                <w:rFonts w:ascii="宋体" w:hAnsi="宋体"/>
                <w:color w:val="000000"/>
                <w:kern w:val="0"/>
                <w:szCs w:val="21"/>
                <w:highlight w:val="none"/>
              </w:rPr>
            </w:pPr>
          </w:p>
        </w:tc>
        <w:tc>
          <w:tcPr>
            <w:tcW w:w="2622" w:type="dxa"/>
            <w:vAlign w:val="center"/>
          </w:tcPr>
          <w:p w14:paraId="4B5E8BA1">
            <w:pPr>
              <w:pageBreakBefore w:val="0"/>
              <w:tabs>
                <w:tab w:val="left" w:pos="480"/>
              </w:tabs>
              <w:kinsoku/>
              <w:topLinePunct w:val="0"/>
              <w:bidi w:val="0"/>
              <w:jc w:val="center"/>
              <w:rPr>
                <w:rFonts w:ascii="宋体" w:hAnsi="宋体"/>
                <w:color w:val="000000"/>
                <w:kern w:val="0"/>
                <w:szCs w:val="21"/>
                <w:highlight w:val="none"/>
              </w:rPr>
            </w:pPr>
          </w:p>
        </w:tc>
        <w:tc>
          <w:tcPr>
            <w:tcW w:w="1312" w:type="dxa"/>
            <w:vAlign w:val="center"/>
          </w:tcPr>
          <w:p w14:paraId="584BB201">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04DC5FAC">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215FE751">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65BCE6C2">
            <w:pPr>
              <w:pageBreakBefore w:val="0"/>
              <w:tabs>
                <w:tab w:val="left" w:pos="480"/>
              </w:tabs>
              <w:kinsoku/>
              <w:topLinePunct w:val="0"/>
              <w:bidi w:val="0"/>
              <w:jc w:val="center"/>
              <w:rPr>
                <w:rFonts w:ascii="宋体" w:hAnsi="宋体"/>
                <w:color w:val="000000"/>
                <w:kern w:val="0"/>
                <w:szCs w:val="21"/>
                <w:highlight w:val="none"/>
              </w:rPr>
            </w:pPr>
          </w:p>
        </w:tc>
      </w:tr>
      <w:tr w14:paraId="315BA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39" w:type="dxa"/>
            <w:vAlign w:val="center"/>
          </w:tcPr>
          <w:p w14:paraId="3D014B7B">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4</w:t>
            </w:r>
          </w:p>
        </w:tc>
        <w:tc>
          <w:tcPr>
            <w:tcW w:w="1311" w:type="dxa"/>
            <w:vAlign w:val="center"/>
          </w:tcPr>
          <w:p w14:paraId="2C2802F4">
            <w:pPr>
              <w:pageBreakBefore w:val="0"/>
              <w:tabs>
                <w:tab w:val="left" w:pos="480"/>
              </w:tabs>
              <w:kinsoku/>
              <w:topLinePunct w:val="0"/>
              <w:bidi w:val="0"/>
              <w:jc w:val="center"/>
              <w:rPr>
                <w:rFonts w:ascii="宋体" w:hAnsi="宋体"/>
                <w:color w:val="000000"/>
                <w:kern w:val="0"/>
                <w:szCs w:val="21"/>
                <w:highlight w:val="none"/>
              </w:rPr>
            </w:pPr>
          </w:p>
        </w:tc>
        <w:tc>
          <w:tcPr>
            <w:tcW w:w="2622" w:type="dxa"/>
            <w:vAlign w:val="center"/>
          </w:tcPr>
          <w:p w14:paraId="2DA180F8">
            <w:pPr>
              <w:pageBreakBefore w:val="0"/>
              <w:tabs>
                <w:tab w:val="left" w:pos="480"/>
              </w:tabs>
              <w:kinsoku/>
              <w:topLinePunct w:val="0"/>
              <w:bidi w:val="0"/>
              <w:jc w:val="center"/>
              <w:rPr>
                <w:rFonts w:ascii="宋体" w:hAnsi="宋体"/>
                <w:color w:val="000000"/>
                <w:kern w:val="0"/>
                <w:szCs w:val="21"/>
                <w:highlight w:val="none"/>
              </w:rPr>
            </w:pPr>
          </w:p>
        </w:tc>
        <w:tc>
          <w:tcPr>
            <w:tcW w:w="1312" w:type="dxa"/>
            <w:vAlign w:val="center"/>
          </w:tcPr>
          <w:p w14:paraId="6017DE25">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048BE95C">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025656B1">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3DE74800">
            <w:pPr>
              <w:pageBreakBefore w:val="0"/>
              <w:tabs>
                <w:tab w:val="left" w:pos="480"/>
              </w:tabs>
              <w:kinsoku/>
              <w:topLinePunct w:val="0"/>
              <w:bidi w:val="0"/>
              <w:jc w:val="center"/>
              <w:rPr>
                <w:rFonts w:ascii="宋体" w:hAnsi="宋体"/>
                <w:color w:val="000000"/>
                <w:kern w:val="0"/>
                <w:szCs w:val="21"/>
                <w:highlight w:val="none"/>
              </w:rPr>
            </w:pPr>
          </w:p>
        </w:tc>
      </w:tr>
      <w:tr w14:paraId="30751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39" w:type="dxa"/>
            <w:vAlign w:val="center"/>
          </w:tcPr>
          <w:p w14:paraId="4F7931BB">
            <w:pPr>
              <w:pageBreakBefore w:val="0"/>
              <w:tabs>
                <w:tab w:val="left" w:pos="480"/>
              </w:tabs>
              <w:kinsoku/>
              <w:topLinePunct w:val="0"/>
              <w:bidi w:val="0"/>
              <w:jc w:val="center"/>
              <w:rPr>
                <w:rFonts w:ascii="宋体" w:hAnsi="宋体"/>
                <w:color w:val="000000"/>
                <w:kern w:val="0"/>
                <w:szCs w:val="21"/>
                <w:highlight w:val="none"/>
              </w:rPr>
            </w:pPr>
            <w:r>
              <w:rPr>
                <w:rFonts w:hint="eastAsia" w:ascii="宋体" w:hAnsi="宋体"/>
                <w:color w:val="000000"/>
                <w:kern w:val="0"/>
                <w:szCs w:val="21"/>
                <w:highlight w:val="none"/>
              </w:rPr>
              <w:t>︙</w:t>
            </w:r>
          </w:p>
        </w:tc>
        <w:tc>
          <w:tcPr>
            <w:tcW w:w="1311" w:type="dxa"/>
            <w:vAlign w:val="center"/>
          </w:tcPr>
          <w:p w14:paraId="39946C53">
            <w:pPr>
              <w:pageBreakBefore w:val="0"/>
              <w:tabs>
                <w:tab w:val="left" w:pos="480"/>
              </w:tabs>
              <w:kinsoku/>
              <w:topLinePunct w:val="0"/>
              <w:bidi w:val="0"/>
              <w:jc w:val="center"/>
              <w:rPr>
                <w:rFonts w:ascii="宋体" w:hAnsi="宋体"/>
                <w:color w:val="000000"/>
                <w:kern w:val="0"/>
                <w:szCs w:val="21"/>
                <w:highlight w:val="none"/>
              </w:rPr>
            </w:pPr>
          </w:p>
        </w:tc>
        <w:tc>
          <w:tcPr>
            <w:tcW w:w="2622" w:type="dxa"/>
            <w:vAlign w:val="center"/>
          </w:tcPr>
          <w:p w14:paraId="6F3CCB57">
            <w:pPr>
              <w:pageBreakBefore w:val="0"/>
              <w:tabs>
                <w:tab w:val="left" w:pos="480"/>
              </w:tabs>
              <w:kinsoku/>
              <w:topLinePunct w:val="0"/>
              <w:bidi w:val="0"/>
              <w:jc w:val="center"/>
              <w:rPr>
                <w:rFonts w:ascii="宋体" w:hAnsi="宋体"/>
                <w:color w:val="000000"/>
                <w:kern w:val="0"/>
                <w:szCs w:val="21"/>
                <w:highlight w:val="none"/>
              </w:rPr>
            </w:pPr>
          </w:p>
        </w:tc>
        <w:tc>
          <w:tcPr>
            <w:tcW w:w="1312" w:type="dxa"/>
            <w:vAlign w:val="center"/>
          </w:tcPr>
          <w:p w14:paraId="2AD30BB0">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24521BCC">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7AA65A74">
            <w:pPr>
              <w:pageBreakBefore w:val="0"/>
              <w:tabs>
                <w:tab w:val="left" w:pos="480"/>
              </w:tabs>
              <w:kinsoku/>
              <w:topLinePunct w:val="0"/>
              <w:bidi w:val="0"/>
              <w:jc w:val="center"/>
              <w:rPr>
                <w:rFonts w:ascii="宋体" w:hAnsi="宋体"/>
                <w:color w:val="000000"/>
                <w:kern w:val="0"/>
                <w:szCs w:val="21"/>
                <w:highlight w:val="none"/>
              </w:rPr>
            </w:pPr>
          </w:p>
        </w:tc>
        <w:tc>
          <w:tcPr>
            <w:tcW w:w="954" w:type="dxa"/>
            <w:vAlign w:val="center"/>
          </w:tcPr>
          <w:p w14:paraId="35357532">
            <w:pPr>
              <w:pageBreakBefore w:val="0"/>
              <w:tabs>
                <w:tab w:val="left" w:pos="480"/>
              </w:tabs>
              <w:kinsoku/>
              <w:topLinePunct w:val="0"/>
              <w:bidi w:val="0"/>
              <w:jc w:val="center"/>
              <w:rPr>
                <w:rFonts w:ascii="宋体" w:hAnsi="宋体"/>
                <w:color w:val="000000"/>
                <w:kern w:val="0"/>
                <w:szCs w:val="21"/>
                <w:highlight w:val="none"/>
              </w:rPr>
            </w:pPr>
          </w:p>
        </w:tc>
      </w:tr>
      <w:tr w14:paraId="30524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39" w:type="dxa"/>
            <w:vAlign w:val="center"/>
          </w:tcPr>
          <w:p w14:paraId="68BBC11F">
            <w:pPr>
              <w:pageBreakBefore w:val="0"/>
              <w:tabs>
                <w:tab w:val="left" w:pos="480"/>
              </w:tabs>
              <w:kinsoku/>
              <w:topLinePunct w:val="0"/>
              <w:bidi w:val="0"/>
              <w:rPr>
                <w:rFonts w:ascii="宋体" w:hAnsi="宋体"/>
                <w:color w:val="000000"/>
                <w:kern w:val="0"/>
                <w:szCs w:val="21"/>
                <w:highlight w:val="none"/>
              </w:rPr>
            </w:pPr>
            <w:r>
              <w:rPr>
                <w:rFonts w:hint="eastAsia" w:ascii="宋体" w:hAnsi="宋体"/>
                <w:color w:val="000000"/>
                <w:kern w:val="0"/>
                <w:szCs w:val="21"/>
                <w:highlight w:val="none"/>
              </w:rPr>
              <w:t>合计</w:t>
            </w:r>
          </w:p>
        </w:tc>
        <w:tc>
          <w:tcPr>
            <w:tcW w:w="8107" w:type="dxa"/>
            <w:gridSpan w:val="6"/>
            <w:vAlign w:val="center"/>
          </w:tcPr>
          <w:p w14:paraId="1D96D00F">
            <w:pPr>
              <w:pageBreakBefore w:val="0"/>
              <w:tabs>
                <w:tab w:val="left" w:pos="480"/>
              </w:tabs>
              <w:kinsoku/>
              <w:topLinePunct w:val="0"/>
              <w:bidi w:val="0"/>
              <w:rPr>
                <w:rFonts w:ascii="宋体" w:hAnsi="宋体"/>
                <w:color w:val="000000"/>
                <w:kern w:val="0"/>
                <w:szCs w:val="21"/>
                <w:highlight w:val="none"/>
              </w:rPr>
            </w:pPr>
          </w:p>
        </w:tc>
      </w:tr>
      <w:tr w14:paraId="704E1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39" w:type="dxa"/>
            <w:vAlign w:val="center"/>
          </w:tcPr>
          <w:p w14:paraId="2485EC2F">
            <w:pPr>
              <w:pageBreakBefore w:val="0"/>
              <w:tabs>
                <w:tab w:val="left" w:pos="480"/>
              </w:tabs>
              <w:kinsoku/>
              <w:topLinePunct w:val="0"/>
              <w:bidi w:val="0"/>
              <w:rPr>
                <w:rFonts w:ascii="宋体" w:hAnsi="宋体"/>
                <w:color w:val="000000"/>
                <w:kern w:val="0"/>
                <w:szCs w:val="21"/>
                <w:highlight w:val="none"/>
              </w:rPr>
            </w:pPr>
            <w:r>
              <w:rPr>
                <w:rFonts w:hint="eastAsia" w:ascii="宋体" w:hAnsi="宋体"/>
                <w:color w:val="000000"/>
                <w:kern w:val="0"/>
                <w:szCs w:val="21"/>
                <w:highlight w:val="none"/>
              </w:rPr>
              <w:t>说明</w:t>
            </w:r>
          </w:p>
        </w:tc>
        <w:tc>
          <w:tcPr>
            <w:tcW w:w="8107" w:type="dxa"/>
            <w:gridSpan w:val="6"/>
            <w:vAlign w:val="center"/>
          </w:tcPr>
          <w:p w14:paraId="21D194FC">
            <w:pPr>
              <w:pageBreakBefore w:val="0"/>
              <w:tabs>
                <w:tab w:val="left" w:pos="480"/>
              </w:tabs>
              <w:kinsoku/>
              <w:topLinePunct w:val="0"/>
              <w:bidi w:val="0"/>
              <w:rPr>
                <w:rFonts w:ascii="宋体" w:hAnsi="宋体"/>
                <w:color w:val="000000"/>
                <w:kern w:val="0"/>
                <w:szCs w:val="21"/>
                <w:highlight w:val="none"/>
              </w:rPr>
            </w:pPr>
          </w:p>
        </w:tc>
      </w:tr>
    </w:tbl>
    <w:p w14:paraId="2A7CB1D7">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二、服务条件：</w:t>
      </w:r>
    </w:p>
    <w:p w14:paraId="473939E8">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（一）服务地点：甲方指定地点。</w:t>
      </w:r>
    </w:p>
    <w:p w14:paraId="7F894BCF">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（二）服务期：自</w:t>
      </w:r>
      <w:r>
        <w:rPr>
          <w:rFonts w:hint="eastAsia" w:ascii="宋体" w:hAnsi="宋体"/>
          <w:szCs w:val="21"/>
          <w:highlight w:val="none"/>
          <w:u w:val="single"/>
        </w:rPr>
        <w:t xml:space="preserve">   </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rPr>
        <w:t>日至</w:t>
      </w:r>
      <w:r>
        <w:rPr>
          <w:rFonts w:hint="eastAsia" w:ascii="宋体" w:hAnsi="宋体"/>
          <w:szCs w:val="21"/>
          <w:highlight w:val="none"/>
          <w:u w:val="single"/>
        </w:rPr>
        <w:t xml:space="preserve">   </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rPr>
        <w:t>日。</w:t>
      </w:r>
    </w:p>
    <w:p w14:paraId="1488E428">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三、合同价款</w:t>
      </w:r>
    </w:p>
    <w:p w14:paraId="30B93366">
      <w:pPr>
        <w:pageBreakBefore w:val="0"/>
        <w:kinsoku/>
        <w:topLinePunct w:val="0"/>
        <w:autoSpaceDE w:val="0"/>
        <w:autoSpaceDN w:val="0"/>
        <w:bidi w:val="0"/>
        <w:adjustRightInd w:val="0"/>
        <w:spacing w:line="360" w:lineRule="auto"/>
        <w:ind w:firstLine="440" w:firstLineChars="200"/>
        <w:rPr>
          <w:rFonts w:ascii="宋体" w:hAnsi="宋体"/>
          <w:bCs/>
          <w:sz w:val="22"/>
          <w:szCs w:val="22"/>
          <w:highlight w:val="none"/>
        </w:rPr>
      </w:pPr>
      <w:r>
        <w:rPr>
          <w:rFonts w:hint="eastAsia" w:ascii="宋体" w:hAnsi="宋体"/>
          <w:bCs/>
          <w:sz w:val="22"/>
          <w:szCs w:val="22"/>
          <w:highlight w:val="none"/>
        </w:rPr>
        <w:t>（一）合同总价款为人民币（大写</w:t>
      </w:r>
      <w:r>
        <w:rPr>
          <w:rFonts w:hint="eastAsia" w:ascii="宋体" w:hAnsi="宋体"/>
          <w:bCs/>
          <w:sz w:val="22"/>
          <w:szCs w:val="22"/>
          <w:highlight w:val="none"/>
          <w:u w:val="single"/>
        </w:rPr>
        <w:t>）</w:t>
      </w:r>
      <w:r>
        <w:rPr>
          <w:rFonts w:ascii="宋体" w:hAnsi="宋体"/>
          <w:bCs/>
          <w:sz w:val="22"/>
          <w:szCs w:val="22"/>
          <w:highlight w:val="none"/>
          <w:u w:val="single"/>
        </w:rPr>
        <w:t xml:space="preserve">        </w:t>
      </w:r>
      <w:r>
        <w:rPr>
          <w:rFonts w:hint="eastAsia" w:ascii="宋体" w:hAnsi="宋体"/>
          <w:bCs/>
          <w:sz w:val="22"/>
          <w:szCs w:val="22"/>
          <w:highlight w:val="none"/>
        </w:rPr>
        <w:t>（￥</w:t>
      </w:r>
      <w:r>
        <w:rPr>
          <w:rFonts w:ascii="宋体" w:hAnsi="宋体"/>
          <w:bCs/>
          <w:sz w:val="22"/>
          <w:szCs w:val="22"/>
          <w:highlight w:val="none"/>
          <w:u w:val="single"/>
        </w:rPr>
        <w:t xml:space="preserve">       </w:t>
      </w:r>
      <w:r>
        <w:rPr>
          <w:rFonts w:hint="eastAsia" w:ascii="宋体" w:hAnsi="宋体"/>
          <w:bCs/>
          <w:sz w:val="22"/>
          <w:szCs w:val="22"/>
          <w:highlight w:val="none"/>
        </w:rPr>
        <w:t xml:space="preserve">）。 </w:t>
      </w:r>
      <w:r>
        <w:rPr>
          <w:rFonts w:ascii="宋体" w:hAnsi="宋体"/>
          <w:bCs/>
          <w:sz w:val="22"/>
          <w:szCs w:val="22"/>
          <w:highlight w:val="none"/>
        </w:rPr>
        <w:t xml:space="preserve"> </w:t>
      </w:r>
    </w:p>
    <w:p w14:paraId="652A99B6">
      <w:pPr>
        <w:pageBreakBefore w:val="0"/>
        <w:kinsoku/>
        <w:topLinePunct w:val="0"/>
        <w:autoSpaceDE w:val="0"/>
        <w:autoSpaceDN w:val="0"/>
        <w:bidi w:val="0"/>
        <w:adjustRightInd w:val="0"/>
        <w:spacing w:line="360" w:lineRule="auto"/>
        <w:ind w:firstLine="440" w:firstLineChars="200"/>
        <w:rPr>
          <w:sz w:val="20"/>
          <w:szCs w:val="20"/>
          <w:highlight w:val="none"/>
        </w:rPr>
      </w:pPr>
      <w:r>
        <w:rPr>
          <w:rFonts w:hint="eastAsia" w:ascii="宋体" w:hAnsi="宋体"/>
          <w:bCs/>
          <w:sz w:val="22"/>
          <w:szCs w:val="22"/>
          <w:highlight w:val="none"/>
        </w:rPr>
        <w:t>（二）合同总价包括：</w:t>
      </w:r>
      <w:r>
        <w:rPr>
          <w:rFonts w:hint="eastAsia" w:ascii="宋体" w:hAnsi="宋体"/>
          <w:bCs/>
          <w:sz w:val="22"/>
          <w:szCs w:val="22"/>
          <w:highlight w:val="none"/>
          <w:u w:val="single"/>
        </w:rPr>
        <w:t xml:space="preserve">                         </w:t>
      </w:r>
      <w:r>
        <w:rPr>
          <w:rFonts w:ascii="宋体" w:hAnsi="宋体"/>
          <w:bCs/>
          <w:sz w:val="22"/>
          <w:szCs w:val="22"/>
          <w:highlight w:val="none"/>
          <w:u w:val="single"/>
        </w:rPr>
        <w:t xml:space="preserve">      </w:t>
      </w:r>
      <w:r>
        <w:rPr>
          <w:rFonts w:hint="eastAsia" w:ascii="宋体" w:hAnsi="宋体"/>
          <w:bCs/>
          <w:sz w:val="22"/>
          <w:szCs w:val="22"/>
          <w:highlight w:val="none"/>
          <w:u w:val="single"/>
        </w:rPr>
        <w:t xml:space="preserve"> </w:t>
      </w:r>
      <w:r>
        <w:rPr>
          <w:rFonts w:hint="eastAsia" w:ascii="宋体" w:hAnsi="宋体"/>
          <w:bCs/>
          <w:sz w:val="22"/>
          <w:szCs w:val="22"/>
          <w:highlight w:val="none"/>
        </w:rPr>
        <w:t>。</w:t>
      </w:r>
    </w:p>
    <w:p w14:paraId="1232A596">
      <w:pPr>
        <w:pageBreakBefore w:val="0"/>
        <w:tabs>
          <w:tab w:val="left" w:pos="480"/>
        </w:tabs>
        <w:kinsoku/>
        <w:topLinePunct w:val="0"/>
        <w:bidi w:val="0"/>
        <w:spacing w:line="360" w:lineRule="auto"/>
        <w:rPr>
          <w:rFonts w:ascii="宋体" w:hAnsi="宋体"/>
          <w:b/>
          <w:kern w:val="0"/>
          <w:szCs w:val="21"/>
          <w:highlight w:val="none"/>
        </w:rPr>
      </w:pPr>
      <w:r>
        <w:rPr>
          <w:rFonts w:hint="eastAsia" w:ascii="宋体" w:hAnsi="宋体"/>
          <w:b/>
          <w:kern w:val="0"/>
          <w:szCs w:val="21"/>
          <w:highlight w:val="none"/>
        </w:rPr>
        <w:t>四、款项结算</w:t>
      </w:r>
    </w:p>
    <w:p w14:paraId="444C5F5D">
      <w:pPr>
        <w:pageBreakBefore w:val="0"/>
        <w:tabs>
          <w:tab w:val="left" w:pos="480"/>
        </w:tabs>
        <w:kinsoku/>
        <w:topLinePunct w:val="0"/>
        <w:bidi w:val="0"/>
        <w:spacing w:line="360" w:lineRule="auto"/>
        <w:ind w:firstLine="420" w:firstLineChars="200"/>
        <w:rPr>
          <w:rFonts w:hint="eastAsia" w:ascii="宋体" w:hAnsi="宋体" w:eastAsia="宋体"/>
          <w:szCs w:val="21"/>
          <w:highlight w:val="none"/>
          <w:lang w:eastAsia="zh-CN"/>
        </w:rPr>
      </w:pPr>
      <w:bookmarkStart w:id="0" w:name="_Hlk132283369"/>
      <w:r>
        <w:rPr>
          <w:rFonts w:hint="eastAsia" w:ascii="宋体" w:hAnsi="宋体"/>
          <w:szCs w:val="21"/>
          <w:highlight w:val="none"/>
        </w:rPr>
        <w:t>（一）</w:t>
      </w:r>
      <w:r>
        <w:rPr>
          <w:spacing w:val="-1"/>
        </w:rPr>
        <w:t>付款条件说明</w:t>
      </w:r>
      <w:r>
        <w:rPr>
          <w:rFonts w:hint="eastAsia" w:eastAsia="宋体"/>
          <w:spacing w:val="-1"/>
          <w:lang w:eastAsia="zh-CN"/>
        </w:rPr>
        <w:t>：</w:t>
      </w:r>
    </w:p>
    <w:bookmarkEnd w:id="0"/>
    <w:p w14:paraId="3DAA204E">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（二）支付方式：银行转账。</w:t>
      </w:r>
    </w:p>
    <w:p w14:paraId="2C675DD8">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（三）结算方式：每次付款前乙方向甲方提供合法有效的增值税普通发票。</w:t>
      </w:r>
    </w:p>
    <w:p w14:paraId="36EE3154">
      <w:pPr>
        <w:pageBreakBefore w:val="0"/>
        <w:kinsoku/>
        <w:topLinePunct w:val="0"/>
        <w:bidi w:val="0"/>
        <w:spacing w:line="360" w:lineRule="auto"/>
        <w:rPr>
          <w:rFonts w:ascii="宋体" w:hAnsi="宋体"/>
          <w:b/>
          <w:kern w:val="0"/>
          <w:szCs w:val="21"/>
          <w:highlight w:val="none"/>
        </w:rPr>
      </w:pPr>
      <w:r>
        <w:rPr>
          <w:rFonts w:hint="eastAsia" w:ascii="宋体" w:hAnsi="宋体"/>
          <w:b/>
          <w:kern w:val="0"/>
          <w:szCs w:val="21"/>
          <w:highlight w:val="none"/>
        </w:rPr>
        <w:t>五、双方的权利和义务</w:t>
      </w:r>
    </w:p>
    <w:p w14:paraId="01435AFB">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（一）甲方的权利和义务</w:t>
      </w:r>
    </w:p>
    <w:p w14:paraId="620CD4BD">
      <w:pPr>
        <w:pageBreakBefore w:val="0"/>
        <w:kinsoku/>
        <w:topLinePunct w:val="0"/>
        <w:bidi w:val="0"/>
        <w:spacing w:line="360" w:lineRule="auto"/>
        <w:ind w:firstLine="420" w:firstLineChars="200"/>
        <w:rPr>
          <w:rFonts w:ascii="宋体" w:hAnsi="宋体"/>
          <w:bCs/>
          <w:szCs w:val="21"/>
          <w:highlight w:val="none"/>
        </w:rPr>
      </w:pPr>
      <w:r>
        <w:rPr>
          <w:rFonts w:hint="eastAsia" w:ascii="宋体" w:hAnsi="宋体"/>
          <w:bCs/>
          <w:szCs w:val="21"/>
          <w:highlight w:val="none"/>
        </w:rPr>
        <w:t>（由双方协商，必须填写）</w:t>
      </w:r>
    </w:p>
    <w:p w14:paraId="5304113A">
      <w:pPr>
        <w:pageBreakBefore w:val="0"/>
        <w:kinsoku/>
        <w:topLinePunct w:val="0"/>
        <w:bidi w:val="0"/>
        <w:spacing w:line="360" w:lineRule="auto"/>
        <w:ind w:firstLine="420" w:firstLineChars="200"/>
        <w:rPr>
          <w:rFonts w:ascii="宋体" w:hAnsi="宋体"/>
          <w:bCs/>
          <w:szCs w:val="21"/>
          <w:highlight w:val="none"/>
        </w:rPr>
      </w:pPr>
      <w:r>
        <w:rPr>
          <w:rFonts w:hint="eastAsia" w:ascii="宋体" w:hAnsi="宋体"/>
          <w:bCs/>
          <w:szCs w:val="21"/>
          <w:highlight w:val="none"/>
        </w:rPr>
        <w:t>（二）乙方的权利和义务</w:t>
      </w:r>
    </w:p>
    <w:p w14:paraId="34E88179">
      <w:pPr>
        <w:pageBreakBefore w:val="0"/>
        <w:kinsoku/>
        <w:topLinePunct w:val="0"/>
        <w:bidi w:val="0"/>
        <w:spacing w:line="360" w:lineRule="auto"/>
        <w:ind w:firstLine="420" w:firstLineChars="200"/>
        <w:rPr>
          <w:rFonts w:ascii="宋体" w:hAnsi="宋体"/>
          <w:bCs/>
          <w:szCs w:val="21"/>
          <w:highlight w:val="none"/>
        </w:rPr>
      </w:pPr>
      <w:r>
        <w:rPr>
          <w:rFonts w:hint="eastAsia" w:ascii="宋体" w:hAnsi="宋体"/>
          <w:bCs/>
          <w:szCs w:val="21"/>
          <w:highlight w:val="none"/>
        </w:rPr>
        <w:t>（由双方协商，必须填写）</w:t>
      </w:r>
    </w:p>
    <w:p w14:paraId="37B66C7C">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六、质量保证</w:t>
      </w:r>
    </w:p>
    <w:p w14:paraId="60169739">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乙方所供服务必须执行下列条款：</w:t>
      </w:r>
    </w:p>
    <w:p w14:paraId="12BAD984">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（一）服务方案和方式科学、可行，人员配置合理，全面满足要求。</w:t>
      </w:r>
    </w:p>
    <w:p w14:paraId="35D3D8FF">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（二）符合国家有关服务规范要求，确保各项服务达到最佳运行效果。</w:t>
      </w:r>
    </w:p>
    <w:p w14:paraId="3BDB9846">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（三）乙方提供的服务，若发生侵权而产生的一切后果，由乙方负责。甲方保留索赔权力。</w:t>
      </w:r>
    </w:p>
    <w:p w14:paraId="67CCB982">
      <w:pPr>
        <w:pageBreakBefore w:val="0"/>
        <w:kinsoku/>
        <w:topLinePunct w:val="0"/>
        <w:bidi w:val="0"/>
        <w:spacing w:line="360" w:lineRule="auto"/>
        <w:ind w:firstLine="420" w:firstLineChars="200"/>
        <w:rPr>
          <w:rFonts w:ascii="宋体" w:hAnsi="宋体"/>
          <w:bCs/>
          <w:szCs w:val="21"/>
          <w:highlight w:val="none"/>
        </w:rPr>
      </w:pPr>
      <w:r>
        <w:rPr>
          <w:rFonts w:hint="eastAsia" w:ascii="宋体" w:hAnsi="宋体"/>
          <w:bCs/>
          <w:szCs w:val="21"/>
          <w:highlight w:val="none"/>
        </w:rPr>
        <w:t>（四）服务承诺内容。</w:t>
      </w:r>
    </w:p>
    <w:p w14:paraId="6045D76F">
      <w:pPr>
        <w:pageBreakBefore w:val="0"/>
        <w:kinsoku/>
        <w:topLinePunct w:val="0"/>
        <w:bidi w:val="0"/>
        <w:spacing w:line="360" w:lineRule="auto"/>
        <w:ind w:firstLine="420" w:firstLineChars="200"/>
        <w:rPr>
          <w:rFonts w:ascii="宋体" w:hAnsi="宋体"/>
          <w:bCs/>
          <w:szCs w:val="21"/>
          <w:highlight w:val="none"/>
        </w:rPr>
      </w:pPr>
      <w:r>
        <w:rPr>
          <w:rFonts w:hint="eastAsia" w:ascii="宋体" w:hAnsi="宋体"/>
          <w:bCs/>
          <w:szCs w:val="21"/>
          <w:highlight w:val="none"/>
        </w:rPr>
        <w:t>（五）双方拟定的其他条款。</w:t>
      </w:r>
    </w:p>
    <w:p w14:paraId="269791DE">
      <w:pPr>
        <w:pageBreakBefore w:val="0"/>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七、验收</w:t>
      </w:r>
    </w:p>
    <w:p w14:paraId="676168E0">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4AE51D92">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（二）乙方向甲方提交服务实施过程中的所有资料。以便甲方日后管理和维护。</w:t>
      </w:r>
    </w:p>
    <w:p w14:paraId="79D2B652">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（三）验收依据：</w:t>
      </w:r>
    </w:p>
    <w:p w14:paraId="3974011F">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1、招标文件、投标文件、澄清表（函）；</w:t>
      </w:r>
    </w:p>
    <w:p w14:paraId="0AEEDD0F">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2、本合同及附件文本；</w:t>
      </w:r>
    </w:p>
    <w:p w14:paraId="55E1D113">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3、国家相应的标准、规范。</w:t>
      </w:r>
    </w:p>
    <w:p w14:paraId="170E9BAB">
      <w:pPr>
        <w:pageBreakBefore w:val="0"/>
        <w:kinsoku/>
        <w:topLinePunct w:val="0"/>
        <w:bidi w:val="0"/>
        <w:spacing w:line="360" w:lineRule="auto"/>
        <w:ind w:firstLine="420" w:firstLineChars="200"/>
        <w:rPr>
          <w:rFonts w:ascii="宋体" w:hAnsi="宋体"/>
          <w:bCs/>
          <w:szCs w:val="21"/>
          <w:highlight w:val="none"/>
        </w:rPr>
      </w:pPr>
      <w:r>
        <w:rPr>
          <w:rFonts w:hint="eastAsia" w:ascii="宋体" w:hAnsi="宋体"/>
          <w:bCs/>
          <w:szCs w:val="21"/>
          <w:highlight w:val="none"/>
        </w:rPr>
        <w:t>（四）双方拟定的其他条款。</w:t>
      </w:r>
    </w:p>
    <w:p w14:paraId="6D7E777F">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八、违约责任</w:t>
      </w:r>
    </w:p>
    <w:p w14:paraId="6AF00B49">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（一）合同中未约定的，按《民典法》中的相关条款执行。</w:t>
      </w:r>
    </w:p>
    <w:p w14:paraId="58AF46EC">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二）未按合同要求提供服务或服务质量不能满足合同要求，甲方应当将乙方违约的情况以及拟采取的措施以书面形式报政府采购监管部门，根据政府采购监管部门的处理意见，甲方有权依据《民典法》有关条款及合同约定解除合同，乙方应向甲方支付合同总价款</w:t>
      </w:r>
      <w:r>
        <w:rPr>
          <w:rFonts w:hint="eastAsia" w:ascii="宋体" w:hAnsi="宋体"/>
          <w:szCs w:val="21"/>
          <w:highlight w:val="none"/>
          <w:u w:val="single"/>
        </w:rPr>
        <w:t xml:space="preserve">   </w:t>
      </w:r>
      <w:r>
        <w:rPr>
          <w:rFonts w:hint="eastAsia" w:ascii="宋体" w:hAnsi="宋体"/>
          <w:szCs w:val="21"/>
          <w:highlight w:val="none"/>
        </w:rPr>
        <w:t>%的违约金。同时，政府采购监管部门有权依据《政府采购法》及相关法律法规对乙方的违法行为进行相应的处罚。</w:t>
      </w:r>
    </w:p>
    <w:p w14:paraId="4E88A3F0">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（三）在本合同履行过程中，双方因违约或造成对方经济、社会效益等损失的应当赔偿。</w:t>
      </w:r>
    </w:p>
    <w:p w14:paraId="0E9DA13C">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（四）甲方无正当理由拒绝接受服务，需向乙方偿付本合同总价款</w:t>
      </w:r>
      <w:r>
        <w:rPr>
          <w:rFonts w:hint="eastAsia" w:ascii="宋体" w:hAnsi="宋体"/>
          <w:szCs w:val="21"/>
          <w:highlight w:val="none"/>
          <w:u w:val="single"/>
        </w:rPr>
        <w:t xml:space="preserve">   </w:t>
      </w:r>
      <w:r>
        <w:rPr>
          <w:rFonts w:hint="eastAsia" w:ascii="宋体" w:hAnsi="宋体"/>
          <w:szCs w:val="21"/>
          <w:highlight w:val="none"/>
        </w:rPr>
        <w:t>%的违约金。甲方由于自身原因逾期付款的，则每日按逾期金额的</w:t>
      </w:r>
      <w:r>
        <w:rPr>
          <w:rFonts w:hint="eastAsia" w:ascii="宋体" w:hAnsi="宋体"/>
          <w:szCs w:val="21"/>
          <w:highlight w:val="none"/>
          <w:u w:val="single"/>
        </w:rPr>
        <w:t xml:space="preserve">   </w:t>
      </w:r>
      <w:r>
        <w:rPr>
          <w:rFonts w:hint="eastAsia" w:ascii="宋体" w:hAnsi="宋体"/>
          <w:szCs w:val="21"/>
          <w:highlight w:val="none"/>
        </w:rPr>
        <w:t>%向乙方偿付违约金。</w:t>
      </w:r>
    </w:p>
    <w:p w14:paraId="0979BAFC">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（五）乙方提供的服务不符合本项目相关文件和本合同规定的，甲方有权拒绝，并且乙方须向甲方支付本合同总价款</w:t>
      </w:r>
      <w:r>
        <w:rPr>
          <w:rFonts w:hint="eastAsia" w:ascii="宋体" w:hAnsi="宋体"/>
          <w:szCs w:val="21"/>
          <w:highlight w:val="none"/>
          <w:u w:val="single"/>
        </w:rPr>
        <w:t xml:space="preserve">    </w:t>
      </w:r>
      <w:r>
        <w:rPr>
          <w:rFonts w:hint="eastAsia" w:ascii="宋体" w:hAnsi="宋体"/>
          <w:szCs w:val="21"/>
          <w:highlight w:val="none"/>
        </w:rPr>
        <w:t>%的违约金。</w:t>
      </w:r>
    </w:p>
    <w:p w14:paraId="79552721">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（六）乙方未能按照本合同约定时间提供服务或完成约定的项目服务内容的，从逾期之日起每日按本合同总价款</w:t>
      </w:r>
      <w:r>
        <w:rPr>
          <w:rFonts w:hint="eastAsia" w:ascii="宋体" w:hAnsi="宋体"/>
          <w:szCs w:val="21"/>
          <w:highlight w:val="none"/>
          <w:u w:val="single"/>
        </w:rPr>
        <w:t xml:space="preserve">    </w:t>
      </w:r>
      <w:r>
        <w:rPr>
          <w:rFonts w:hint="eastAsia" w:ascii="宋体" w:hAnsi="宋体"/>
          <w:szCs w:val="21"/>
          <w:highlight w:val="none"/>
        </w:rPr>
        <w:t>%的数额向甲方支付违约金；逾期</w:t>
      </w:r>
      <w:r>
        <w:rPr>
          <w:rFonts w:hint="eastAsia" w:ascii="宋体" w:hAnsi="宋体"/>
          <w:szCs w:val="21"/>
          <w:highlight w:val="none"/>
          <w:u w:val="single"/>
        </w:rPr>
        <w:t xml:space="preserve">    </w:t>
      </w:r>
      <w:r>
        <w:rPr>
          <w:rFonts w:hint="eastAsia" w:ascii="宋体" w:hAnsi="宋体"/>
          <w:szCs w:val="21"/>
          <w:highlight w:val="none"/>
        </w:rPr>
        <w:t>日以上的，甲方有权终止合同，由此造成的甲方经济损失由乙方承担。</w:t>
      </w:r>
    </w:p>
    <w:p w14:paraId="4325021E">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（七）未经甲方同意，乙方不得擅自将本合同服务分包或转包第三方承担。</w:t>
      </w:r>
    </w:p>
    <w:p w14:paraId="2D63711D">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（八）本合同中各条款约定的违约金可自甲方未支付款项中直接扣除，违约金若不能弥补甲方损失的，乙方还应赔偿甲方损失。</w:t>
      </w:r>
    </w:p>
    <w:p w14:paraId="71575AFE">
      <w:pPr>
        <w:pageBreakBefore w:val="0"/>
        <w:kinsoku/>
        <w:topLinePunct w:val="0"/>
        <w:bidi w:val="0"/>
        <w:spacing w:line="360" w:lineRule="auto"/>
        <w:ind w:firstLine="420" w:firstLineChars="200"/>
        <w:rPr>
          <w:rFonts w:ascii="宋体" w:hAnsi="宋体"/>
          <w:bCs/>
          <w:szCs w:val="21"/>
          <w:highlight w:val="none"/>
        </w:rPr>
      </w:pPr>
      <w:r>
        <w:rPr>
          <w:rFonts w:hint="eastAsia" w:ascii="宋体" w:hAnsi="宋体"/>
          <w:bCs/>
          <w:szCs w:val="21"/>
          <w:highlight w:val="none"/>
        </w:rPr>
        <w:t>（九）双方拟定的其他条款。</w:t>
      </w:r>
    </w:p>
    <w:p w14:paraId="566A73C6">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九、保密条款</w:t>
      </w:r>
    </w:p>
    <w:p w14:paraId="5453A7AD">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6A3B9451">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3A1B3981">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（三）本条款为独立条款，本合同的无效、变更、解除和终止均不影响本条款的效力。</w:t>
      </w:r>
    </w:p>
    <w:p w14:paraId="593B4D5E">
      <w:pPr>
        <w:pageBreakBefore w:val="0"/>
        <w:kinsoku/>
        <w:topLinePunct w:val="0"/>
        <w:bidi w:val="0"/>
        <w:spacing w:line="360" w:lineRule="auto"/>
        <w:ind w:firstLine="420" w:firstLineChars="200"/>
        <w:rPr>
          <w:rFonts w:ascii="宋体" w:hAnsi="宋体"/>
          <w:bCs/>
          <w:szCs w:val="21"/>
          <w:highlight w:val="none"/>
        </w:rPr>
      </w:pPr>
      <w:r>
        <w:rPr>
          <w:rFonts w:hint="eastAsia" w:ascii="宋体" w:hAnsi="宋体"/>
          <w:bCs/>
          <w:szCs w:val="21"/>
          <w:highlight w:val="none"/>
        </w:rPr>
        <w:t>（四）双方拟定的其他条款。</w:t>
      </w:r>
    </w:p>
    <w:p w14:paraId="34E4292B">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十、争议解决</w:t>
      </w:r>
    </w:p>
    <w:p w14:paraId="7B3079F6">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（一）本合同在履行过程中发生的争议，由甲、乙双方当事人协商解决，协商不成的按下列第</w:t>
      </w:r>
      <w:r>
        <w:rPr>
          <w:rFonts w:hint="eastAsia" w:ascii="宋体" w:hAnsi="宋体"/>
          <w:szCs w:val="21"/>
          <w:highlight w:val="none"/>
          <w:u w:val="single"/>
        </w:rPr>
        <w:t xml:space="preserve">    </w:t>
      </w:r>
      <w:r>
        <w:rPr>
          <w:rFonts w:hint="eastAsia" w:ascii="宋体" w:hAnsi="宋体"/>
          <w:szCs w:val="21"/>
          <w:highlight w:val="none"/>
        </w:rPr>
        <w:t>种方式解决：</w:t>
      </w:r>
    </w:p>
    <w:p w14:paraId="73220DA0">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1、提交西安仲裁委员会仲裁；</w:t>
      </w:r>
    </w:p>
    <w:p w14:paraId="70535113">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2、依法向甲方所在地人民法院起诉。</w:t>
      </w:r>
    </w:p>
    <w:p w14:paraId="38F31EEF">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（二）本条款为独立条款，本合同的无效、变更、解除和终止均不影响本条款的效力。</w:t>
      </w:r>
    </w:p>
    <w:p w14:paraId="19BCA616">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十一、关于送达的约定</w:t>
      </w:r>
    </w:p>
    <w:p w14:paraId="79BB0591">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（一）本合同项下甲乙双方任何一方向对方发出的通知、信件、数据电文等，应当发送至本合同下列约定的地址、联系人和通信终端。</w:t>
      </w:r>
    </w:p>
    <w:p w14:paraId="310D3BA5">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甲方联系人：×××</w:t>
      </w:r>
    </w:p>
    <w:p w14:paraId="3AD78718">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联系电话：×××-××××</w:t>
      </w:r>
    </w:p>
    <w:p w14:paraId="716E980B">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联系地址：××××××××，邮编：××××。</w:t>
      </w:r>
    </w:p>
    <w:p w14:paraId="75406A15">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甲方（□同意□不同意）接受电子文件送达，电子终端信息如下：</w:t>
      </w:r>
    </w:p>
    <w:p w14:paraId="4E132FCA">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移动电话：1××××××××</w:t>
      </w:r>
    </w:p>
    <w:p w14:paraId="04F4DAE7">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传真：×××-××××</w:t>
      </w:r>
    </w:p>
    <w:p w14:paraId="31010D85">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微信号：××××××××</w:t>
      </w:r>
    </w:p>
    <w:p w14:paraId="3D0B94E3">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电子邮箱：×××@×××.</w:t>
      </w:r>
      <w:r>
        <w:rPr>
          <w:rFonts w:ascii="宋体" w:hAnsi="宋体"/>
          <w:szCs w:val="21"/>
          <w:highlight w:val="none"/>
        </w:rPr>
        <w:t>C</w:t>
      </w:r>
      <w:r>
        <w:rPr>
          <w:rFonts w:hint="eastAsia" w:ascii="宋体" w:hAnsi="宋体"/>
          <w:szCs w:val="21"/>
          <w:highlight w:val="none"/>
        </w:rPr>
        <w:t>om</w:t>
      </w:r>
    </w:p>
    <w:p w14:paraId="6F62E746">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乙方联系人：×××</w:t>
      </w:r>
    </w:p>
    <w:p w14:paraId="7000BF29">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联系电话：×××-××××</w:t>
      </w:r>
    </w:p>
    <w:p w14:paraId="3B3AFB1F">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联系地址：××××××××，邮编：××××。</w:t>
      </w:r>
    </w:p>
    <w:p w14:paraId="2AF68F44">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乙方（□同意□不同意）接受电子文件送达，电子终端信息如下：</w:t>
      </w:r>
    </w:p>
    <w:p w14:paraId="41FDEFCD">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移动电话：1××××××××</w:t>
      </w:r>
    </w:p>
    <w:p w14:paraId="65244CEE">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传真：×××-××××</w:t>
      </w:r>
    </w:p>
    <w:p w14:paraId="2449504B">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微信号：××××××××</w:t>
      </w:r>
    </w:p>
    <w:p w14:paraId="721DEA8D">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电子邮箱：×××@×××.</w:t>
      </w:r>
      <w:r>
        <w:rPr>
          <w:rFonts w:ascii="宋体" w:hAnsi="宋体"/>
          <w:szCs w:val="21"/>
          <w:highlight w:val="none"/>
        </w:rPr>
        <w:t>C</w:t>
      </w:r>
      <w:r>
        <w:rPr>
          <w:rFonts w:hint="eastAsia" w:ascii="宋体" w:hAnsi="宋体"/>
          <w:szCs w:val="21"/>
          <w:highlight w:val="none"/>
        </w:rPr>
        <w:t>om</w:t>
      </w:r>
    </w:p>
    <w:p w14:paraId="5DE7F1C7">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（二）各种通讯方式应当按照下列方式确定其送达时间：</w:t>
      </w:r>
    </w:p>
    <w:p w14:paraId="525AB64C">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1、面呈之通知在被通知人签收时视为送达，被通知人未签收的不得视为有效送达。</w:t>
      </w:r>
    </w:p>
    <w:p w14:paraId="4AE574C0">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2、以邮寄方式进行的通知均为应采用邮政挂号快件或特快专递的方式进行，自信件交邮后的第7日视为送达。</w:t>
      </w:r>
    </w:p>
    <w:p w14:paraId="5B918C8A">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3、发出的短信/传真/微信/电子邮件，自前述电子文件内容在发送方正确填写地址且未被系统退回的情况下，视为进入对方数据电子文件接收系统即视为送达。若送达日为非工作日，则视为在下一个工作日送达。</w:t>
      </w:r>
    </w:p>
    <w:p w14:paraId="74C6FD83">
      <w:pPr>
        <w:pageBreakBefore w:val="0"/>
        <w:tabs>
          <w:tab w:val="left" w:pos="480"/>
        </w:tabs>
        <w:kinsoku/>
        <w:topLinePunct w:val="0"/>
        <w:bidi w:val="0"/>
        <w:spacing w:line="360" w:lineRule="auto"/>
        <w:ind w:firstLine="411" w:firstLineChars="196"/>
        <w:rPr>
          <w:rFonts w:ascii="宋体" w:hAnsi="宋体"/>
          <w:szCs w:val="21"/>
          <w:highlight w:val="none"/>
        </w:rPr>
      </w:pPr>
      <w:r>
        <w:rPr>
          <w:rFonts w:hint="eastAsia" w:ascii="宋体" w:hAnsi="宋体"/>
          <w:szCs w:val="21"/>
          <w:highlight w:val="none"/>
        </w:rPr>
        <w:t>4、一方当事人变更名称、地址、联系人或通信终端的，应当在变更后3日内及时书面通知对方当事人，对方当事人实际收到变更通知前的送达仍为有效送达，电子送达与书面送达具有同等法律效力。</w:t>
      </w:r>
    </w:p>
    <w:p w14:paraId="7A2D6F55">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十二、合同变更</w:t>
      </w:r>
    </w:p>
    <w:p w14:paraId="562BE177">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7EE3BDA4">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十三、合同生效</w:t>
      </w:r>
    </w:p>
    <w:p w14:paraId="383868C2">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本合同一式</w:t>
      </w:r>
      <w:r>
        <w:rPr>
          <w:rFonts w:hint="eastAsia" w:ascii="宋体" w:hAnsi="宋体"/>
          <w:szCs w:val="21"/>
          <w:highlight w:val="none"/>
          <w:u w:val="single"/>
        </w:rPr>
        <w:t xml:space="preserve">  </w:t>
      </w:r>
      <w:r>
        <w:rPr>
          <w:rFonts w:hint="eastAsia" w:ascii="宋体" w:hAnsi="宋体"/>
          <w:szCs w:val="21"/>
          <w:highlight w:val="none"/>
        </w:rPr>
        <w:t>份，甲方持</w:t>
      </w:r>
      <w:r>
        <w:rPr>
          <w:rFonts w:hint="eastAsia" w:ascii="宋体" w:hAnsi="宋体"/>
          <w:szCs w:val="21"/>
          <w:highlight w:val="none"/>
          <w:u w:val="single"/>
        </w:rPr>
        <w:t xml:space="preserve">  </w:t>
      </w:r>
      <w:r>
        <w:rPr>
          <w:rFonts w:hint="eastAsia" w:ascii="宋体" w:hAnsi="宋体"/>
          <w:szCs w:val="21"/>
          <w:highlight w:val="none"/>
        </w:rPr>
        <w:t>份，乙方持</w:t>
      </w:r>
      <w:r>
        <w:rPr>
          <w:rFonts w:hint="eastAsia" w:ascii="宋体" w:hAnsi="宋体"/>
          <w:szCs w:val="21"/>
          <w:highlight w:val="none"/>
          <w:u w:val="single"/>
        </w:rPr>
        <w:t xml:space="preserve">  </w:t>
      </w:r>
      <w:r>
        <w:rPr>
          <w:rFonts w:hint="eastAsia" w:ascii="宋体" w:hAnsi="宋体"/>
          <w:szCs w:val="21"/>
          <w:highlight w:val="none"/>
        </w:rPr>
        <w:t>份，本合同甲、乙方签字盖章后生效，合同执行完毕后，自动失效（合同的服务承诺则长期有效）。</w:t>
      </w:r>
    </w:p>
    <w:p w14:paraId="24531D38">
      <w:pPr>
        <w:pageBreakBefore w:val="0"/>
        <w:tabs>
          <w:tab w:val="left" w:pos="480"/>
        </w:tabs>
        <w:kinsoku/>
        <w:topLinePunct w:val="0"/>
        <w:bidi w:val="0"/>
        <w:spacing w:line="360" w:lineRule="auto"/>
        <w:rPr>
          <w:rFonts w:ascii="宋体" w:hAnsi="宋体"/>
          <w:b/>
          <w:color w:val="000000"/>
          <w:kern w:val="0"/>
          <w:szCs w:val="21"/>
          <w:highlight w:val="none"/>
        </w:rPr>
      </w:pPr>
      <w:r>
        <w:rPr>
          <w:rFonts w:hint="eastAsia" w:ascii="宋体" w:hAnsi="宋体"/>
          <w:b/>
          <w:color w:val="000000"/>
          <w:kern w:val="0"/>
          <w:szCs w:val="21"/>
          <w:highlight w:val="none"/>
        </w:rPr>
        <w:t>十四、其他事项</w:t>
      </w:r>
    </w:p>
    <w:p w14:paraId="441B2C90">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（一）</w:t>
      </w:r>
      <w:r>
        <w:rPr>
          <w:rFonts w:hint="eastAsia" w:ascii="宋体" w:hAnsi="宋体" w:eastAsia="宋体"/>
          <w:szCs w:val="21"/>
          <w:highlight w:val="none"/>
          <w:lang w:eastAsia="zh-CN"/>
        </w:rPr>
        <w:t>陕西省财政厅</w:t>
      </w:r>
      <w:r>
        <w:rPr>
          <w:rFonts w:hint="eastAsia" w:ascii="宋体" w:hAnsi="宋体"/>
          <w:szCs w:val="21"/>
          <w:highlight w:val="none"/>
        </w:rPr>
        <w:t>在合同的履行期间以及履行期后，可以随时检查项目的执行情况，对采购标准、采购内容进行调查核实，并对发现的问题进行处理。</w:t>
      </w:r>
    </w:p>
    <w:p w14:paraId="792C4B0E">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eastAsia="宋体"/>
          <w:szCs w:val="21"/>
          <w:highlight w:val="none"/>
          <w:lang w:val="en-US" w:eastAsia="zh-CN"/>
        </w:rPr>
        <w:t>二</w:t>
      </w:r>
      <w:r>
        <w:rPr>
          <w:rFonts w:hint="eastAsia" w:ascii="宋体" w:hAnsi="宋体"/>
          <w:szCs w:val="21"/>
          <w:highlight w:val="none"/>
        </w:rPr>
        <w:t>）招标文件、投标文件、澄清表（函）、中标通知书、合同附件均成为合同不可分割的部分。</w:t>
      </w:r>
    </w:p>
    <w:p w14:paraId="6BE94C1A">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eastAsia="宋体"/>
          <w:szCs w:val="21"/>
          <w:highlight w:val="none"/>
          <w:lang w:val="en-US" w:eastAsia="zh-CN"/>
        </w:rPr>
        <w:t>三</w:t>
      </w:r>
      <w:r>
        <w:rPr>
          <w:rFonts w:hint="eastAsia" w:ascii="宋体" w:hAnsi="宋体"/>
          <w:szCs w:val="21"/>
          <w:highlight w:val="none"/>
        </w:rPr>
        <w:t>）甲乙双方因不可抗力导致本合同全部或部分不能履行时，发生不可抗力的一方应当在不可抗力发生后</w:t>
      </w:r>
      <w:r>
        <w:rPr>
          <w:rFonts w:hint="eastAsia" w:ascii="宋体" w:hAnsi="宋体"/>
          <w:szCs w:val="21"/>
          <w:highlight w:val="none"/>
          <w:u w:val="single"/>
        </w:rPr>
        <w:t xml:space="preserve">    </w:t>
      </w:r>
      <w:r>
        <w:rPr>
          <w:rFonts w:hint="eastAsia" w:ascii="宋体" w:hAnsi="宋体"/>
          <w:szCs w:val="21"/>
          <w:highlight w:val="none"/>
        </w:rPr>
        <w:t>天内书面通知对方，以减轻可能给对方造成的损失。因不可抗力导致本合同全部或部分不能履行时，双方各自承担其因此而造成的损失、损害。</w:t>
      </w:r>
    </w:p>
    <w:p w14:paraId="52760620">
      <w:pPr>
        <w:pageBreakBefore w:val="0"/>
        <w:kinsoku/>
        <w:topLinePunct w:val="0"/>
        <w:bidi w:val="0"/>
        <w:spacing w:line="360" w:lineRule="auto"/>
        <w:ind w:firstLine="420" w:firstLineChars="200"/>
        <w:rPr>
          <w:rFonts w:ascii="宋体" w:hAnsi="宋体"/>
          <w:szCs w:val="21"/>
          <w:highlight w:val="none"/>
        </w:rPr>
      </w:pPr>
      <w:r>
        <w:rPr>
          <w:rFonts w:hint="eastAsia" w:ascii="宋体" w:hAnsi="宋体"/>
          <w:szCs w:val="21"/>
          <w:highlight w:val="none"/>
        </w:rPr>
        <w:t>（</w:t>
      </w:r>
      <w:r>
        <w:rPr>
          <w:rFonts w:hint="eastAsia" w:ascii="宋体" w:hAnsi="宋体" w:eastAsia="宋体"/>
          <w:szCs w:val="21"/>
          <w:highlight w:val="none"/>
          <w:lang w:val="en-US" w:eastAsia="zh-CN"/>
        </w:rPr>
        <w:t>四</w:t>
      </w:r>
      <w:r>
        <w:rPr>
          <w:rFonts w:hint="eastAsia" w:ascii="宋体" w:hAnsi="宋体"/>
          <w:szCs w:val="21"/>
          <w:highlight w:val="none"/>
        </w:rPr>
        <w:t>）合同未尽事宜，由甲、乙双方协商后签订政府采购补充合同，与原合同具有同等法律效力。</w:t>
      </w:r>
    </w:p>
    <w:p w14:paraId="5C3F2067">
      <w:pPr>
        <w:pageBreakBefore w:val="0"/>
        <w:kinsoku/>
        <w:topLinePunct w:val="0"/>
        <w:bidi w:val="0"/>
        <w:spacing w:line="360" w:lineRule="auto"/>
        <w:ind w:firstLine="420" w:firstLineChars="200"/>
        <w:rPr>
          <w:rFonts w:ascii="宋体" w:hAnsi="宋体"/>
          <w:szCs w:val="21"/>
          <w:highlight w:val="none"/>
        </w:rPr>
      </w:pPr>
    </w:p>
    <w:p w14:paraId="46DDBD5C">
      <w:pPr>
        <w:pageBreakBefore w:val="0"/>
        <w:tabs>
          <w:tab w:val="left" w:pos="480"/>
        </w:tabs>
        <w:kinsoku/>
        <w:topLinePunct w:val="0"/>
        <w:bidi w:val="0"/>
        <w:spacing w:line="360" w:lineRule="auto"/>
        <w:ind w:firstLine="340" w:firstLineChars="200"/>
        <w:rPr>
          <w:rFonts w:ascii="宋体" w:hAnsi="宋体"/>
          <w:color w:val="000000"/>
          <w:spacing w:val="-20"/>
          <w:kern w:val="0"/>
          <w:szCs w:val="21"/>
          <w:highlight w:val="none"/>
        </w:rPr>
      </w:pPr>
    </w:p>
    <w:tbl>
      <w:tblPr>
        <w:tblStyle w:val="4"/>
        <w:tblW w:w="8799"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1"/>
        <w:gridCol w:w="4468"/>
      </w:tblGrid>
      <w:tr w14:paraId="3816F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331" w:type="dxa"/>
            <w:tcBorders>
              <w:top w:val="single" w:color="auto" w:sz="4" w:space="0"/>
              <w:left w:val="single" w:color="auto" w:sz="4" w:space="0"/>
              <w:bottom w:val="single" w:color="auto" w:sz="4" w:space="0"/>
              <w:right w:val="single" w:color="auto" w:sz="4" w:space="0"/>
            </w:tcBorders>
            <w:vAlign w:val="center"/>
          </w:tcPr>
          <w:p w14:paraId="699CEB4D">
            <w:pPr>
              <w:pageBreakBefore w:val="0"/>
              <w:kinsoku/>
              <w:topLinePunct w:val="0"/>
              <w:autoSpaceDE w:val="0"/>
              <w:autoSpaceDN w:val="0"/>
              <w:bidi w:val="0"/>
              <w:adjustRightInd w:val="0"/>
              <w:jc w:val="center"/>
              <w:rPr>
                <w:rFonts w:ascii="宋体" w:hAnsi="宋体"/>
                <w:szCs w:val="21"/>
                <w:highlight w:val="none"/>
              </w:rPr>
            </w:pPr>
            <w:r>
              <w:rPr>
                <w:rFonts w:hint="eastAsia" w:ascii="宋体" w:hAnsi="宋体"/>
                <w:szCs w:val="21"/>
                <w:highlight w:val="none"/>
              </w:rPr>
              <w:t>甲  方</w:t>
            </w:r>
          </w:p>
        </w:tc>
        <w:tc>
          <w:tcPr>
            <w:tcW w:w="4468" w:type="dxa"/>
            <w:tcBorders>
              <w:top w:val="single" w:color="auto" w:sz="4" w:space="0"/>
              <w:left w:val="single" w:color="auto" w:sz="4" w:space="0"/>
              <w:bottom w:val="single" w:color="auto" w:sz="4" w:space="0"/>
              <w:right w:val="single" w:color="auto" w:sz="4" w:space="0"/>
            </w:tcBorders>
            <w:vAlign w:val="center"/>
          </w:tcPr>
          <w:p w14:paraId="2B72467C">
            <w:pPr>
              <w:pageBreakBefore w:val="0"/>
              <w:kinsoku/>
              <w:topLinePunct w:val="0"/>
              <w:autoSpaceDE w:val="0"/>
              <w:autoSpaceDN w:val="0"/>
              <w:bidi w:val="0"/>
              <w:adjustRightInd w:val="0"/>
              <w:jc w:val="center"/>
              <w:rPr>
                <w:rFonts w:ascii="宋体" w:hAnsi="宋体"/>
                <w:szCs w:val="21"/>
                <w:highlight w:val="none"/>
              </w:rPr>
            </w:pPr>
            <w:r>
              <w:rPr>
                <w:rFonts w:hint="eastAsia" w:ascii="宋体" w:hAnsi="宋体"/>
                <w:szCs w:val="21"/>
                <w:highlight w:val="none"/>
              </w:rPr>
              <w:t>乙  方</w:t>
            </w:r>
          </w:p>
        </w:tc>
      </w:tr>
      <w:tr w14:paraId="29DA4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4331" w:type="dxa"/>
            <w:tcBorders>
              <w:top w:val="single" w:color="auto" w:sz="4" w:space="0"/>
              <w:left w:val="single" w:color="auto" w:sz="4" w:space="0"/>
              <w:bottom w:val="single" w:color="auto" w:sz="4" w:space="0"/>
              <w:right w:val="single" w:color="auto" w:sz="4" w:space="0"/>
            </w:tcBorders>
            <w:vAlign w:val="center"/>
          </w:tcPr>
          <w:p w14:paraId="66D1804D">
            <w:pPr>
              <w:pageBreakBefore w:val="0"/>
              <w:kinsoku/>
              <w:topLinePunct w:val="0"/>
              <w:autoSpaceDE w:val="0"/>
              <w:autoSpaceDN w:val="0"/>
              <w:bidi w:val="0"/>
              <w:adjustRightInd w:val="0"/>
              <w:jc w:val="center"/>
              <w:rPr>
                <w:rFonts w:ascii="宋体" w:hAnsi="宋体"/>
                <w:szCs w:val="21"/>
                <w:highlight w:val="none"/>
              </w:rPr>
            </w:pPr>
            <w:r>
              <w:rPr>
                <w:rFonts w:hint="eastAsia" w:ascii="宋体" w:hAnsi="宋体"/>
                <w:szCs w:val="21"/>
                <w:highlight w:val="none"/>
              </w:rPr>
              <w:t>采购人名称</w:t>
            </w:r>
          </w:p>
          <w:p w14:paraId="561C0FE1">
            <w:pPr>
              <w:pageBreakBefore w:val="0"/>
              <w:kinsoku/>
              <w:topLinePunct w:val="0"/>
              <w:autoSpaceDE w:val="0"/>
              <w:autoSpaceDN w:val="0"/>
              <w:bidi w:val="0"/>
              <w:adjustRightInd w:val="0"/>
              <w:jc w:val="center"/>
              <w:rPr>
                <w:rFonts w:ascii="宋体" w:hAnsi="宋体"/>
                <w:szCs w:val="21"/>
                <w:highlight w:val="none"/>
              </w:rPr>
            </w:pPr>
            <w:r>
              <w:rPr>
                <w:rFonts w:hint="eastAsia" w:ascii="宋体" w:hAnsi="宋体"/>
                <w:szCs w:val="21"/>
                <w:highlight w:val="none"/>
              </w:rPr>
              <w:t>（</w:t>
            </w:r>
            <w:r>
              <w:rPr>
                <w:rFonts w:hint="eastAsia" w:ascii="宋体" w:hAnsi="宋体" w:eastAsia="宋体"/>
                <w:szCs w:val="21"/>
                <w:highlight w:val="none"/>
                <w:lang w:val="en-US" w:eastAsia="zh-CN"/>
              </w:rPr>
              <w:t xml:space="preserve"> </w:t>
            </w:r>
            <w:r>
              <w:rPr>
                <w:rFonts w:hint="eastAsia" w:ascii="宋体" w:hAnsi="宋体"/>
                <w:szCs w:val="21"/>
                <w:highlight w:val="none"/>
              </w:rPr>
              <w:t>请填写具体名称</w:t>
            </w:r>
            <w:bookmarkStart w:id="1" w:name="_GoBack"/>
            <w:bookmarkEnd w:id="1"/>
            <w:r>
              <w:rPr>
                <w:rFonts w:hint="eastAsia" w:ascii="宋体" w:hAnsi="宋体"/>
                <w:szCs w:val="21"/>
                <w:highlight w:val="none"/>
              </w:rPr>
              <w:t>）</w:t>
            </w:r>
          </w:p>
          <w:p w14:paraId="187A1114">
            <w:pPr>
              <w:pageBreakBefore w:val="0"/>
              <w:kinsoku/>
              <w:topLinePunct w:val="0"/>
              <w:autoSpaceDE w:val="0"/>
              <w:autoSpaceDN w:val="0"/>
              <w:bidi w:val="0"/>
              <w:adjustRightInd w:val="0"/>
              <w:ind w:firstLine="945" w:firstLineChars="450"/>
              <w:jc w:val="left"/>
              <w:rPr>
                <w:rFonts w:ascii="宋体" w:hAnsi="宋体"/>
                <w:szCs w:val="21"/>
                <w:highlight w:val="none"/>
              </w:rPr>
            </w:pPr>
            <w:r>
              <w:rPr>
                <w:rFonts w:hint="eastAsia" w:ascii="宋体" w:hAnsi="宋体"/>
                <w:szCs w:val="21"/>
                <w:highlight w:val="none"/>
              </w:rPr>
              <w:t>（盖章）</w:t>
            </w:r>
          </w:p>
        </w:tc>
        <w:tc>
          <w:tcPr>
            <w:tcW w:w="4468" w:type="dxa"/>
            <w:tcBorders>
              <w:top w:val="single" w:color="auto" w:sz="4" w:space="0"/>
              <w:left w:val="single" w:color="auto" w:sz="4" w:space="0"/>
              <w:bottom w:val="single" w:color="auto" w:sz="4" w:space="0"/>
              <w:right w:val="single" w:color="auto" w:sz="4" w:space="0"/>
            </w:tcBorders>
            <w:vAlign w:val="center"/>
          </w:tcPr>
          <w:p w14:paraId="6BEACEC9">
            <w:pPr>
              <w:pageBreakBefore w:val="0"/>
              <w:kinsoku/>
              <w:topLinePunct w:val="0"/>
              <w:autoSpaceDE w:val="0"/>
              <w:autoSpaceDN w:val="0"/>
              <w:bidi w:val="0"/>
              <w:adjustRightInd w:val="0"/>
              <w:jc w:val="center"/>
              <w:rPr>
                <w:rFonts w:ascii="宋体" w:hAnsi="宋体"/>
                <w:szCs w:val="21"/>
                <w:highlight w:val="none"/>
              </w:rPr>
            </w:pPr>
            <w:r>
              <w:rPr>
                <w:rFonts w:hint="eastAsia" w:ascii="宋体" w:hAnsi="宋体"/>
                <w:szCs w:val="21"/>
                <w:highlight w:val="none"/>
              </w:rPr>
              <w:t>供应商全称</w:t>
            </w:r>
          </w:p>
          <w:p w14:paraId="72401EDF">
            <w:pPr>
              <w:pageBreakBefore w:val="0"/>
              <w:kinsoku/>
              <w:topLinePunct w:val="0"/>
              <w:autoSpaceDE w:val="0"/>
              <w:autoSpaceDN w:val="0"/>
              <w:bidi w:val="0"/>
              <w:adjustRightInd w:val="0"/>
              <w:jc w:val="center"/>
              <w:rPr>
                <w:rFonts w:ascii="宋体" w:hAnsi="宋体"/>
                <w:szCs w:val="21"/>
                <w:highlight w:val="none"/>
              </w:rPr>
            </w:pPr>
            <w:r>
              <w:rPr>
                <w:rFonts w:hint="eastAsia" w:ascii="宋体" w:hAnsi="宋体"/>
                <w:szCs w:val="21"/>
                <w:highlight w:val="none"/>
              </w:rPr>
              <w:t>（请填写具体名称）</w:t>
            </w:r>
          </w:p>
          <w:p w14:paraId="37A11BEA">
            <w:pPr>
              <w:pageBreakBefore w:val="0"/>
              <w:kinsoku/>
              <w:topLinePunct w:val="0"/>
              <w:autoSpaceDE w:val="0"/>
              <w:autoSpaceDN w:val="0"/>
              <w:bidi w:val="0"/>
              <w:adjustRightInd w:val="0"/>
              <w:ind w:firstLine="1050" w:firstLineChars="500"/>
              <w:jc w:val="left"/>
              <w:rPr>
                <w:rFonts w:ascii="宋体" w:hAnsi="宋体"/>
                <w:szCs w:val="21"/>
                <w:highlight w:val="none"/>
              </w:rPr>
            </w:pPr>
            <w:r>
              <w:rPr>
                <w:rFonts w:hint="eastAsia" w:ascii="宋体" w:hAnsi="宋体"/>
                <w:szCs w:val="21"/>
                <w:highlight w:val="none"/>
              </w:rPr>
              <w:t>（盖章）</w:t>
            </w:r>
          </w:p>
        </w:tc>
      </w:tr>
      <w:tr w14:paraId="4AC75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4331" w:type="dxa"/>
            <w:tcBorders>
              <w:top w:val="single" w:color="auto" w:sz="4" w:space="0"/>
              <w:left w:val="single" w:color="auto" w:sz="4" w:space="0"/>
              <w:bottom w:val="single" w:color="auto" w:sz="4" w:space="0"/>
              <w:right w:val="single" w:color="auto" w:sz="4" w:space="0"/>
            </w:tcBorders>
            <w:vAlign w:val="center"/>
          </w:tcPr>
          <w:p w14:paraId="31BFDFFA">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 xml:space="preserve">地址： </w:t>
            </w:r>
          </w:p>
        </w:tc>
        <w:tc>
          <w:tcPr>
            <w:tcW w:w="4468" w:type="dxa"/>
            <w:tcBorders>
              <w:top w:val="single" w:color="auto" w:sz="4" w:space="0"/>
              <w:left w:val="single" w:color="auto" w:sz="4" w:space="0"/>
              <w:bottom w:val="single" w:color="auto" w:sz="4" w:space="0"/>
              <w:right w:val="single" w:color="auto" w:sz="4" w:space="0"/>
            </w:tcBorders>
            <w:vAlign w:val="center"/>
          </w:tcPr>
          <w:p w14:paraId="0E0998B4">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地址：</w:t>
            </w:r>
          </w:p>
        </w:tc>
      </w:tr>
      <w:tr w14:paraId="79F99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4331" w:type="dxa"/>
            <w:tcBorders>
              <w:top w:val="single" w:color="auto" w:sz="4" w:space="0"/>
              <w:left w:val="single" w:color="auto" w:sz="4" w:space="0"/>
              <w:bottom w:val="single" w:color="auto" w:sz="4" w:space="0"/>
              <w:right w:val="single" w:color="auto" w:sz="4" w:space="0"/>
            </w:tcBorders>
            <w:vAlign w:val="center"/>
          </w:tcPr>
          <w:p w14:paraId="499C5FE2">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邮编：</w:t>
            </w:r>
          </w:p>
        </w:tc>
        <w:tc>
          <w:tcPr>
            <w:tcW w:w="4468" w:type="dxa"/>
            <w:tcBorders>
              <w:top w:val="single" w:color="auto" w:sz="4" w:space="0"/>
              <w:left w:val="single" w:color="auto" w:sz="4" w:space="0"/>
              <w:bottom w:val="single" w:color="auto" w:sz="4" w:space="0"/>
              <w:right w:val="single" w:color="auto" w:sz="4" w:space="0"/>
            </w:tcBorders>
            <w:vAlign w:val="center"/>
          </w:tcPr>
          <w:p w14:paraId="29E48526">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邮编：</w:t>
            </w:r>
          </w:p>
        </w:tc>
      </w:tr>
      <w:tr w14:paraId="6A9D7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331" w:type="dxa"/>
            <w:tcBorders>
              <w:top w:val="single" w:color="auto" w:sz="4" w:space="0"/>
              <w:left w:val="single" w:color="auto" w:sz="4" w:space="0"/>
              <w:bottom w:val="single" w:color="auto" w:sz="4" w:space="0"/>
              <w:right w:val="single" w:color="auto" w:sz="4" w:space="0"/>
            </w:tcBorders>
            <w:vAlign w:val="center"/>
          </w:tcPr>
          <w:p w14:paraId="0AB0351C">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 xml:space="preserve">法定代表人： </w:t>
            </w:r>
          </w:p>
        </w:tc>
        <w:tc>
          <w:tcPr>
            <w:tcW w:w="4468" w:type="dxa"/>
            <w:tcBorders>
              <w:top w:val="single" w:color="auto" w:sz="4" w:space="0"/>
              <w:left w:val="single" w:color="auto" w:sz="4" w:space="0"/>
              <w:bottom w:val="single" w:color="auto" w:sz="4" w:space="0"/>
              <w:right w:val="single" w:color="auto" w:sz="4" w:space="0"/>
            </w:tcBorders>
            <w:vAlign w:val="center"/>
          </w:tcPr>
          <w:p w14:paraId="5B0E5866">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法定代表人：</w:t>
            </w:r>
          </w:p>
        </w:tc>
      </w:tr>
      <w:tr w14:paraId="5501B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331" w:type="dxa"/>
            <w:tcBorders>
              <w:top w:val="single" w:color="auto" w:sz="4" w:space="0"/>
              <w:left w:val="single" w:color="auto" w:sz="4" w:space="0"/>
              <w:bottom w:val="single" w:color="auto" w:sz="4" w:space="0"/>
              <w:right w:val="single" w:color="auto" w:sz="4" w:space="0"/>
            </w:tcBorders>
            <w:vAlign w:val="center"/>
          </w:tcPr>
          <w:p w14:paraId="427FD6D7">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被授权代表：（签字）</w:t>
            </w:r>
          </w:p>
        </w:tc>
        <w:tc>
          <w:tcPr>
            <w:tcW w:w="4468" w:type="dxa"/>
            <w:tcBorders>
              <w:top w:val="single" w:color="auto" w:sz="4" w:space="0"/>
              <w:left w:val="single" w:color="auto" w:sz="4" w:space="0"/>
              <w:bottom w:val="single" w:color="auto" w:sz="4" w:space="0"/>
              <w:right w:val="single" w:color="auto" w:sz="4" w:space="0"/>
            </w:tcBorders>
            <w:vAlign w:val="center"/>
          </w:tcPr>
          <w:p w14:paraId="4D595524">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被授权代表：（签字）</w:t>
            </w:r>
          </w:p>
        </w:tc>
      </w:tr>
      <w:tr w14:paraId="0F24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331" w:type="dxa"/>
            <w:tcBorders>
              <w:top w:val="single" w:color="auto" w:sz="4" w:space="0"/>
              <w:left w:val="single" w:color="auto" w:sz="4" w:space="0"/>
              <w:bottom w:val="single" w:color="auto" w:sz="4" w:space="0"/>
              <w:right w:val="single" w:color="auto" w:sz="4" w:space="0"/>
            </w:tcBorders>
            <w:vAlign w:val="center"/>
          </w:tcPr>
          <w:p w14:paraId="44F7565A">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电话：</w:t>
            </w:r>
          </w:p>
        </w:tc>
        <w:tc>
          <w:tcPr>
            <w:tcW w:w="4468" w:type="dxa"/>
            <w:tcBorders>
              <w:top w:val="single" w:color="auto" w:sz="4" w:space="0"/>
              <w:left w:val="single" w:color="auto" w:sz="4" w:space="0"/>
              <w:bottom w:val="single" w:color="auto" w:sz="4" w:space="0"/>
              <w:right w:val="single" w:color="auto" w:sz="4" w:space="0"/>
            </w:tcBorders>
            <w:vAlign w:val="center"/>
          </w:tcPr>
          <w:p w14:paraId="33416B99">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电话：</w:t>
            </w:r>
          </w:p>
        </w:tc>
      </w:tr>
      <w:tr w14:paraId="33509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331" w:type="dxa"/>
            <w:tcBorders>
              <w:top w:val="single" w:color="auto" w:sz="4" w:space="0"/>
              <w:left w:val="single" w:color="auto" w:sz="4" w:space="0"/>
              <w:bottom w:val="single" w:color="auto" w:sz="4" w:space="0"/>
              <w:right w:val="single" w:color="auto" w:sz="4" w:space="0"/>
            </w:tcBorders>
            <w:vAlign w:val="center"/>
          </w:tcPr>
          <w:p w14:paraId="154683AD">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传真：</w:t>
            </w:r>
          </w:p>
        </w:tc>
        <w:tc>
          <w:tcPr>
            <w:tcW w:w="4468" w:type="dxa"/>
            <w:tcBorders>
              <w:top w:val="single" w:color="auto" w:sz="4" w:space="0"/>
              <w:left w:val="single" w:color="auto" w:sz="4" w:space="0"/>
              <w:bottom w:val="single" w:color="auto" w:sz="4" w:space="0"/>
              <w:right w:val="single" w:color="auto" w:sz="4" w:space="0"/>
            </w:tcBorders>
            <w:vAlign w:val="center"/>
          </w:tcPr>
          <w:p w14:paraId="0A91781D">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传真：</w:t>
            </w:r>
          </w:p>
        </w:tc>
      </w:tr>
      <w:tr w14:paraId="49B92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31" w:type="dxa"/>
            <w:tcBorders>
              <w:top w:val="single" w:color="auto" w:sz="4" w:space="0"/>
              <w:left w:val="single" w:color="auto" w:sz="4" w:space="0"/>
              <w:bottom w:val="single" w:color="auto" w:sz="4" w:space="0"/>
              <w:right w:val="single" w:color="auto" w:sz="4" w:space="0"/>
            </w:tcBorders>
            <w:vAlign w:val="center"/>
          </w:tcPr>
          <w:p w14:paraId="27AFF39A">
            <w:pPr>
              <w:pageBreakBefore w:val="0"/>
              <w:kinsoku/>
              <w:topLinePunct w:val="0"/>
              <w:autoSpaceDE w:val="0"/>
              <w:autoSpaceDN w:val="0"/>
              <w:bidi w:val="0"/>
              <w:adjustRightInd w:val="0"/>
              <w:jc w:val="left"/>
              <w:rPr>
                <w:rFonts w:ascii="宋体" w:hAnsi="宋体"/>
                <w:szCs w:val="21"/>
                <w:highlight w:val="none"/>
              </w:rPr>
            </w:pPr>
          </w:p>
        </w:tc>
        <w:tc>
          <w:tcPr>
            <w:tcW w:w="4468" w:type="dxa"/>
            <w:tcBorders>
              <w:top w:val="single" w:color="auto" w:sz="4" w:space="0"/>
              <w:left w:val="single" w:color="auto" w:sz="4" w:space="0"/>
              <w:bottom w:val="single" w:color="auto" w:sz="4" w:space="0"/>
              <w:right w:val="single" w:color="auto" w:sz="4" w:space="0"/>
            </w:tcBorders>
            <w:vAlign w:val="center"/>
          </w:tcPr>
          <w:p w14:paraId="7851CF81">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开户银行：</w:t>
            </w:r>
          </w:p>
        </w:tc>
      </w:tr>
      <w:tr w14:paraId="770AF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4331" w:type="dxa"/>
            <w:tcBorders>
              <w:top w:val="single" w:color="auto" w:sz="4" w:space="0"/>
              <w:left w:val="single" w:color="auto" w:sz="4" w:space="0"/>
              <w:bottom w:val="single" w:color="auto" w:sz="4" w:space="0"/>
              <w:right w:val="single" w:color="auto" w:sz="4" w:space="0"/>
            </w:tcBorders>
            <w:vAlign w:val="center"/>
          </w:tcPr>
          <w:p w14:paraId="10D0D286">
            <w:pPr>
              <w:pageBreakBefore w:val="0"/>
              <w:kinsoku/>
              <w:topLinePunct w:val="0"/>
              <w:autoSpaceDE w:val="0"/>
              <w:autoSpaceDN w:val="0"/>
              <w:bidi w:val="0"/>
              <w:adjustRightInd w:val="0"/>
              <w:jc w:val="left"/>
              <w:rPr>
                <w:rFonts w:ascii="宋体" w:hAnsi="宋体"/>
                <w:szCs w:val="21"/>
                <w:highlight w:val="none"/>
              </w:rPr>
            </w:pPr>
          </w:p>
        </w:tc>
        <w:tc>
          <w:tcPr>
            <w:tcW w:w="4468" w:type="dxa"/>
            <w:tcBorders>
              <w:top w:val="single" w:color="auto" w:sz="4" w:space="0"/>
              <w:left w:val="single" w:color="auto" w:sz="4" w:space="0"/>
              <w:bottom w:val="single" w:color="auto" w:sz="4" w:space="0"/>
              <w:right w:val="single" w:color="auto" w:sz="4" w:space="0"/>
            </w:tcBorders>
            <w:vAlign w:val="center"/>
          </w:tcPr>
          <w:p w14:paraId="7982A6FB">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帐号：</w:t>
            </w:r>
          </w:p>
        </w:tc>
      </w:tr>
      <w:tr w14:paraId="47068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331" w:type="dxa"/>
            <w:tcBorders>
              <w:top w:val="single" w:color="auto" w:sz="4" w:space="0"/>
              <w:left w:val="single" w:color="auto" w:sz="4" w:space="0"/>
              <w:bottom w:val="single" w:color="auto" w:sz="4" w:space="0"/>
              <w:right w:val="single" w:color="auto" w:sz="4" w:space="0"/>
            </w:tcBorders>
            <w:vAlign w:val="center"/>
          </w:tcPr>
          <w:p w14:paraId="676DDA7F">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日期：   年   月   日</w:t>
            </w:r>
          </w:p>
        </w:tc>
        <w:tc>
          <w:tcPr>
            <w:tcW w:w="4468" w:type="dxa"/>
            <w:tcBorders>
              <w:top w:val="single" w:color="auto" w:sz="4" w:space="0"/>
              <w:left w:val="single" w:color="auto" w:sz="4" w:space="0"/>
              <w:bottom w:val="single" w:color="auto" w:sz="4" w:space="0"/>
              <w:right w:val="single" w:color="auto" w:sz="4" w:space="0"/>
            </w:tcBorders>
            <w:vAlign w:val="center"/>
          </w:tcPr>
          <w:p w14:paraId="2CF527CC">
            <w:pPr>
              <w:pageBreakBefore w:val="0"/>
              <w:kinsoku/>
              <w:topLinePunct w:val="0"/>
              <w:autoSpaceDE w:val="0"/>
              <w:autoSpaceDN w:val="0"/>
              <w:bidi w:val="0"/>
              <w:adjustRightInd w:val="0"/>
              <w:jc w:val="left"/>
              <w:rPr>
                <w:rFonts w:ascii="宋体" w:hAnsi="宋体"/>
                <w:szCs w:val="21"/>
                <w:highlight w:val="none"/>
              </w:rPr>
            </w:pPr>
            <w:r>
              <w:rPr>
                <w:rFonts w:hint="eastAsia" w:ascii="宋体" w:hAnsi="宋体"/>
                <w:szCs w:val="21"/>
                <w:highlight w:val="none"/>
              </w:rPr>
              <w:t>日期：   年   月   日</w:t>
            </w:r>
          </w:p>
        </w:tc>
      </w:tr>
    </w:tbl>
    <w:p w14:paraId="712714D4">
      <w:pPr>
        <w:pageBreakBefore w:val="0"/>
        <w:tabs>
          <w:tab w:val="left" w:pos="480"/>
        </w:tabs>
        <w:kinsoku/>
        <w:topLinePunct w:val="0"/>
        <w:bidi w:val="0"/>
        <w:spacing w:line="360" w:lineRule="auto"/>
        <w:rPr>
          <w:rFonts w:ascii="宋体" w:hAnsi="宋体"/>
          <w:b/>
          <w:szCs w:val="21"/>
          <w:highlight w:val="none"/>
        </w:rPr>
      </w:pPr>
    </w:p>
    <w:p w14:paraId="33BA666D">
      <w:pPr>
        <w:pageBreakBefore w:val="0"/>
        <w:kinsoku/>
        <w:topLinePunct w:val="0"/>
        <w:bidi w:val="0"/>
        <w:spacing w:line="360" w:lineRule="auto"/>
        <w:rPr>
          <w:rFonts w:ascii="宋体" w:hAnsi="宋体"/>
          <w:szCs w:val="21"/>
          <w:highlight w:val="none"/>
        </w:rPr>
      </w:pPr>
    </w:p>
    <w:p w14:paraId="776F6679">
      <w:pPr>
        <w:pageBreakBefore w:val="0"/>
        <w:kinsoku/>
        <w:topLinePunct w:val="0"/>
        <w:bidi w:val="0"/>
        <w:spacing w:line="360" w:lineRule="auto"/>
        <w:jc w:val="left"/>
        <w:rPr>
          <w:rFonts w:hint="eastAsia" w:ascii="宋体" w:hAnsi="宋体" w:cs="宋体"/>
          <w:sz w:val="24"/>
          <w:szCs w:val="24"/>
          <w:highlight w:val="none"/>
        </w:rPr>
      </w:pPr>
    </w:p>
    <w:p w14:paraId="09CA3675">
      <w:pPr>
        <w:pageBreakBefore w:val="0"/>
        <w:kinsoku/>
        <w:topLinePunct w:val="0"/>
        <w:bidi w:val="0"/>
        <w:spacing w:line="360" w:lineRule="auto"/>
        <w:jc w:val="left"/>
        <w:rPr>
          <w:rFonts w:hint="eastAsia" w:ascii="宋体" w:hAnsi="宋体" w:cs="宋体"/>
          <w:sz w:val="24"/>
          <w:szCs w:val="24"/>
          <w:highlight w:val="none"/>
        </w:rPr>
      </w:pPr>
    </w:p>
    <w:p w14:paraId="1B5EB18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591975"/>
    <w:rsid w:val="24967E12"/>
    <w:rsid w:val="521A37AE"/>
    <w:rsid w:val="5E8D270B"/>
    <w:rsid w:val="6B591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BodyText"/>
    <w:basedOn w:val="1"/>
    <w:next w:val="1"/>
    <w:qFormat/>
    <w:uiPriority w:val="0"/>
    <w:pPr>
      <w:spacing w:after="120"/>
      <w:textAlignment w:val="baseline"/>
    </w:pPr>
    <w:rPr>
      <w:rFonts w:ascii="Times New Roman"/>
    </w:rPr>
  </w:style>
  <w:style w:type="paragraph" w:styleId="3">
    <w:name w:val="Body Text"/>
    <w:basedOn w:val="1"/>
    <w:next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1173</Words>
  <Characters>1189</Characters>
  <Lines>0</Lines>
  <Paragraphs>0</Paragraphs>
  <TotalTime>1</TotalTime>
  <ScaleCrop>false</ScaleCrop>
  <LinksUpToDate>false</LinksUpToDate>
  <CharactersWithSpaces>1306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2025-01-06T09:01:00Z</dcterms:created>
  <dc:creator>刘菲</dc:creator>
  <cp:lastModifiedBy>刘菲</cp:lastModifiedBy>
  <dcterms:modified xsi:type="dcterms:W3CDTF">2025-06-12T09:45:06Z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0585DC77C5454027AD0814D33EAB089A_13</vt:lpwstr>
  </property>
  <property fmtid="{D5CDD505-2E9C-101B-9397-08002B2CF9AE}" pid="4" name="KSOTemplateDocerSaveRecord">
    <vt:lpwstr>eyJoZGlkIjoiNjBjMTUwMjhmNmI2ZmVlMTBkYzRmYzI5MTBmNTk5ODUiLCJ1c2VySWQiOiIzNzMwMTc5MDgifQ==</vt:lpwstr>
  </property>
</Properties>
</file>