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066AF">
      <w:pPr>
        <w:keepNext/>
        <w:keepLines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响应偏离表</w:t>
      </w:r>
    </w:p>
    <w:p w14:paraId="0978C03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A16E6B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</w:t>
      </w:r>
    </w:p>
    <w:p w14:paraId="2F046EBB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0605C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665528E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02B2938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0CC19D7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5C42D02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02FF0B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506D7E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0DE4468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1FB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0D0085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0E4A637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D19846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8A24C9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0A2BD4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46F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B89016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F58FA5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1B6D62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B1D4EA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907D3D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90FE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6DBF89B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04984E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B0C359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DFE19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B29AA9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AFDA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64717A3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2B68436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283960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30952F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68C103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A0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0527CD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4BEA563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750FC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7E3CF9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160CD2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76662A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0A4EB1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1、填写招标文件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第3章</w:t>
      </w:r>
      <w:r>
        <w:rPr>
          <w:rFonts w:hint="eastAsia" w:ascii="仿宋" w:hAnsi="仿宋" w:eastAsia="仿宋" w:cs="仿宋"/>
          <w:sz w:val="24"/>
          <w:szCs w:val="24"/>
        </w:rPr>
        <w:t>交货时间、交货地点、质量保修范围和保修期、采购资金的支付方式及约定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sz w:val="24"/>
          <w:szCs w:val="24"/>
        </w:rPr>
        <w:t>的内容。</w:t>
      </w:r>
    </w:p>
    <w:p w14:paraId="1F03BFD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2、在偏离项，必须注明“正偏离”“负偏离”或“完全响应”，并予以说明。</w:t>
      </w:r>
    </w:p>
    <w:p w14:paraId="7DA5983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3057E1E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4、内容未填写，视为“完全响应”。</w:t>
      </w:r>
    </w:p>
    <w:p w14:paraId="03F63CA7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512DD4A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360" w:lineRule="auto"/>
        <w:ind w:left="0" w:leftChars="0" w:firstLine="2738" w:firstLineChars="1141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（单位名称及公章）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 </w:t>
      </w:r>
    </w:p>
    <w:p w14:paraId="010007B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360" w:lineRule="auto"/>
        <w:ind w:left="0" w:leftChars="0" w:firstLine="2738" w:firstLineChars="1141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日  期: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 </w:t>
      </w:r>
    </w:p>
    <w:p w14:paraId="1EA336B8"/>
    <w:p w14:paraId="0E201222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58590">
    <w:pPr>
      <w:pStyle w:val="4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40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bidi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2025-06-10T08:16:47Z</dcterms:created>
  <dc:creator>AOC</dc:creator>
  <cp:lastModifiedBy>凌</cp:lastModifiedBy>
  <dcterms:modified xsi:type="dcterms:W3CDTF">2025-06-10T08:16:50Z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201D5F2E6FC7468BBB71E71FD6E06682_12</vt:lpwstr>
  </property>
</Properties>
</file>