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版本号：JXZB2025-N1030.2B120250609001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2025年度1-5号学生公寓、研究生公寓毕业生宿舍粉刷项目(二次)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JXZB2025-N1030.2B1</w:t>
      </w:r>
      <w:r>
        <w:br/>
      </w:r>
      <w:r>
        <w:br/>
      </w:r>
      <w:r>
        <w:br/>
      </w:r>
    </w:p>
    <w:p>
      <w:pPr>
        <w:pStyle w:val="null3"/>
        <w:jc w:val="center"/>
        <w:outlineLvl w:val="2"/>
      </w:pPr>
      <w:r>
        <w:rPr>
          <w:rFonts w:ascii="仿宋_GB2312" w:hAnsi="仿宋_GB2312" w:cs="仿宋_GB2312" w:eastAsia="仿宋_GB2312"/>
          <w:sz w:val="28"/>
          <w:b/>
        </w:rPr>
        <w:t>西安美术学院</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西安美术学院</w:t>
      </w:r>
      <w:r>
        <w:rPr>
          <w:rFonts w:ascii="仿宋_GB2312" w:hAnsi="仿宋_GB2312" w:cs="仿宋_GB2312" w:eastAsia="仿宋_GB2312"/>
        </w:rPr>
        <w:t>委托，拟对</w:t>
      </w:r>
      <w:r>
        <w:rPr>
          <w:rFonts w:ascii="仿宋_GB2312" w:hAnsi="仿宋_GB2312" w:cs="仿宋_GB2312" w:eastAsia="仿宋_GB2312"/>
        </w:rPr>
        <w:t>2025年度1-5号学生公寓、研究生公寓毕业生宿舍粉刷项目(二次)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JXZB2025-N1030.2B1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2025年度1-5号学生公寓、研究生公寓毕业生宿舍粉刷项目(二次)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2、4、5、6号毕业生公寓及公共区域粉刷、线路敷设、插座安装、门油漆及清洗等。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采购包1（2、4、5、6号毕业生公寓宿舍粉刷项目）：属于专门面向中小企业采购。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1、营业执照：供应商具有独立承担民事责任的法人、其他组织或自然人，提供合法有效的统一社会信用代码营业执照（事业单位法人证书/非企业专业服务机构执业许可证/自然人身份证自然人提供身份证明）；</w:t>
      </w:r>
    </w:p>
    <w:p>
      <w:pPr>
        <w:pStyle w:val="null3"/>
      </w:pPr>
      <w:r>
        <w:rPr>
          <w:rFonts w:ascii="仿宋_GB2312" w:hAnsi="仿宋_GB2312" w:cs="仿宋_GB2312" w:eastAsia="仿宋_GB2312"/>
        </w:rPr>
        <w:t>2、法定代表人或其授权代理人：法定代表人授权书及授权代表身份证明（法定代表人直接参加投标的须提供法定代表人证明书及其身份证明），非法人单位参照执行；</w:t>
      </w:r>
    </w:p>
    <w:p>
      <w:pPr>
        <w:pStyle w:val="null3"/>
      </w:pPr>
      <w:r>
        <w:rPr>
          <w:rFonts w:ascii="仿宋_GB2312" w:hAnsi="仿宋_GB2312" w:cs="仿宋_GB2312" w:eastAsia="仿宋_GB2312"/>
        </w:rPr>
        <w:t>3、资质要求：供应商具备建设行政主管部门颁发的建筑工程施工总承包三级（含）及以上或建筑装修装饰工程专业承包二级（含）及以上资质，且具有有效的安全生产许可证；</w:t>
      </w:r>
    </w:p>
    <w:p>
      <w:pPr>
        <w:pStyle w:val="null3"/>
      </w:pPr>
      <w:r>
        <w:rPr>
          <w:rFonts w:ascii="仿宋_GB2312" w:hAnsi="仿宋_GB2312" w:cs="仿宋_GB2312" w:eastAsia="仿宋_GB2312"/>
        </w:rPr>
        <w:t>4、项目负责人：项目经理需具备建筑工程专业二级（含二级）及以上注册建造师证书和有效的安全生产考核合格证，在本单位注册且无在建工程；</w:t>
      </w:r>
    </w:p>
    <w:p>
      <w:pPr>
        <w:pStyle w:val="null3"/>
      </w:pPr>
      <w:r>
        <w:rPr>
          <w:rFonts w:ascii="仿宋_GB2312" w:hAnsi="仿宋_GB2312" w:cs="仿宋_GB2312" w:eastAsia="仿宋_GB2312"/>
        </w:rPr>
        <w:t>5、 财务状况报告 ：提供经审计的2023年度或2024年度的财务报告（包括审计报告、资产负债表、利润表、现金流量表及附注）或在开标日期前六个月内其基本账户开户银行出具的资信证明（附开户许可证或开户备案证明或基本账户信息）；其他组织和自然人提供银行出具的资信证明；</w:t>
      </w:r>
    </w:p>
    <w:p>
      <w:pPr>
        <w:pStyle w:val="null3"/>
      </w:pPr>
      <w:r>
        <w:rPr>
          <w:rFonts w:ascii="仿宋_GB2312" w:hAnsi="仿宋_GB2312" w:cs="仿宋_GB2312" w:eastAsia="仿宋_GB2312"/>
        </w:rPr>
        <w:t>6、税收缴纳证明：提供投标截止时间前12个月内任意一个月缴纳税收的凭据；依法免税的或者依法不需缴税的投标人应提供相关文件证明；</w:t>
      </w:r>
    </w:p>
    <w:p>
      <w:pPr>
        <w:pStyle w:val="null3"/>
      </w:pPr>
      <w:r>
        <w:rPr>
          <w:rFonts w:ascii="仿宋_GB2312" w:hAnsi="仿宋_GB2312" w:cs="仿宋_GB2312" w:eastAsia="仿宋_GB2312"/>
        </w:rPr>
        <w:t>7、社会保障资金缴纳证明：提供投标截止时间前12个月内任意一个月已缴纳的社会保障资金的凭据；依法不需要缴纳社会保障资金的投标人应提供相关文件证明；</w:t>
      </w:r>
    </w:p>
    <w:p>
      <w:pPr>
        <w:pStyle w:val="null3"/>
      </w:pPr>
      <w:r>
        <w:rPr>
          <w:rFonts w:ascii="仿宋_GB2312" w:hAnsi="仿宋_GB2312" w:cs="仿宋_GB2312" w:eastAsia="仿宋_GB2312"/>
        </w:rPr>
        <w:t>8、书面声明：（1）提供具有履行本合同所必需的设备和专业技术能力的声明：（2）参加本次政府采购活动前3年内在经营活动中没有重大违纪书面声明；（3）非联合体声明。</w:t>
      </w:r>
    </w:p>
    <w:p>
      <w:pPr>
        <w:pStyle w:val="null3"/>
      </w:pPr>
      <w:r>
        <w:rPr>
          <w:rFonts w:ascii="仿宋_GB2312" w:hAnsi="仿宋_GB2312" w:cs="仿宋_GB2312" w:eastAsia="仿宋_GB2312"/>
        </w:rPr>
        <w:t>9、信用记录：供应商的信用记录须符合财库[2016]125号文《财政部关于在政府采购活动中查询及使用信用记录有关问题的通知》的规定。投标人被“信用中国”网站列入失信被执行人、重大税收违法失信主体的，投标人被“中国政府采购网”网站列入政府采购严重违法失信名单的，不得参与本项目投标 注：以代理机构开标现场查询为准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西安美术学院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西安市雁塔区含光路100号西安美术学院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029-88214244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西安市雁塔区唐延路11号禾盛京广中心E座23楼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庞冰倩、贾晓燕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采购包1：431,219.55元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采购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按标准收取。（不足5000元的以5000元计取，在成交通知书发出前由成交供应商支付）。 代理费缴存账户： 开户银行：建行西安丰禾路支行 账号：61001744100052500118 收款人名称：中天久信管理咨询集团有限公司 （备注：项目名称+包代理服务费）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踏勘时间：2025-06-18 15:00:00</w:t>
            </w:r>
          </w:p>
          <w:p>
            <w:pPr>
              <w:pStyle w:val="null3"/>
              <w:ind w:firstLine="975"/>
            </w:pPr>
            <w:r>
              <w:rPr>
                <w:rFonts w:ascii="仿宋_GB2312" w:hAnsi="仿宋_GB2312" w:cs="仿宋_GB2312" w:eastAsia="仿宋_GB2312"/>
              </w:rPr>
              <w:t>踏勘地点：西安美术学院东门</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联系电话号码：13689194744</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西安美术学院</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西安美术学院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西安美术学院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联系人：庞冰倩、贾晓燕</w:t>
      </w:r>
    </w:p>
    <w:p>
      <w:pPr>
        <w:pStyle w:val="null3"/>
      </w:pPr>
      <w:r>
        <w:rPr>
          <w:rFonts w:ascii="仿宋_GB2312" w:hAnsi="仿宋_GB2312" w:cs="仿宋_GB2312" w:eastAsia="仿宋_GB2312"/>
        </w:rPr>
        <w:t>联系电话：029-89525802转8002</w:t>
      </w:r>
    </w:p>
    <w:p>
      <w:pPr>
        <w:pStyle w:val="null3"/>
      </w:pPr>
      <w:r>
        <w:rPr>
          <w:rFonts w:ascii="仿宋_GB2312" w:hAnsi="仿宋_GB2312" w:cs="仿宋_GB2312" w:eastAsia="仿宋_GB2312"/>
        </w:rPr>
        <w:t>地址：西安市雁塔区唐延路11号禾盛京广中心E座23楼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431,219.55</w:t>
      </w:r>
    </w:p>
    <w:p>
      <w:pPr>
        <w:pStyle w:val="null3"/>
      </w:pPr>
      <w:r>
        <w:rPr>
          <w:rFonts w:ascii="仿宋_GB2312" w:hAnsi="仿宋_GB2312" w:cs="仿宋_GB2312" w:eastAsia="仿宋_GB2312"/>
        </w:rPr>
        <w:t>采购包最高限价（元）: 431,219.55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2、4、5、6号毕业生公寓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431,219.55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标的名称：2、4、5、6号毕业生公寓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一、项目范围：</w:t>
            </w:r>
            <w:r>
              <w:rPr>
                <w:rFonts w:ascii="仿宋_GB2312" w:hAnsi="仿宋_GB2312" w:cs="仿宋_GB2312" w:eastAsia="仿宋_GB2312"/>
                <w:sz w:val="21"/>
                <w:color w:val="000000"/>
              </w:rPr>
              <w:t>2、4、5、6号毕业生公寓及公共区域粉刷、线路敷设、插座安装、门油漆及清洗；</w:t>
            </w:r>
          </w:p>
          <w:p>
            <w:pPr>
              <w:pStyle w:val="null3"/>
              <w:jc w:val="both"/>
            </w:pPr>
            <w:r>
              <w:rPr>
                <w:rFonts w:ascii="仿宋_GB2312" w:hAnsi="仿宋_GB2312" w:cs="仿宋_GB2312" w:eastAsia="仿宋_GB2312"/>
                <w:sz w:val="21"/>
                <w:color w:val="000000"/>
              </w:rPr>
              <w:t>二、要求及说明：</w:t>
            </w:r>
          </w:p>
          <w:p>
            <w:pPr>
              <w:pStyle w:val="null3"/>
              <w:jc w:val="both"/>
            </w:pPr>
            <w:r>
              <w:rPr>
                <w:rFonts w:ascii="仿宋_GB2312" w:hAnsi="仿宋_GB2312" w:cs="仿宋_GB2312" w:eastAsia="仿宋_GB2312"/>
                <w:sz w:val="21"/>
                <w:color w:val="000000"/>
              </w:rPr>
              <w:t>1、工程要求</w:t>
            </w:r>
          </w:p>
          <w:p>
            <w:pPr>
              <w:pStyle w:val="null3"/>
              <w:jc w:val="both"/>
            </w:pPr>
            <w:r>
              <w:rPr>
                <w:rFonts w:ascii="仿宋_GB2312" w:hAnsi="仿宋_GB2312" w:cs="仿宋_GB2312" w:eastAsia="仿宋_GB2312"/>
                <w:sz w:val="21"/>
                <w:color w:val="000000"/>
              </w:rPr>
              <w:t>粉刷部分：</w:t>
            </w:r>
          </w:p>
          <w:p>
            <w:pPr>
              <w:pStyle w:val="null3"/>
              <w:jc w:val="both"/>
            </w:pPr>
            <w:r>
              <w:rPr>
                <w:rFonts w:ascii="仿宋_GB2312" w:hAnsi="仿宋_GB2312" w:cs="仿宋_GB2312" w:eastAsia="仿宋_GB2312"/>
                <w:sz w:val="21"/>
                <w:color w:val="000000"/>
              </w:rPr>
              <w:t>①对工程范围内的原粉刷部分砂纸整体打磨，刷两遍漆。宿舍内部因水泡起皮发霉的墙面进行铲除，刮两遍腻子刷两遍漆；</w:t>
            </w:r>
          </w:p>
          <w:p>
            <w:pPr>
              <w:pStyle w:val="null3"/>
              <w:jc w:val="both"/>
            </w:pPr>
            <w:r>
              <w:rPr>
                <w:rFonts w:ascii="仿宋_GB2312" w:hAnsi="仿宋_GB2312" w:cs="仿宋_GB2312" w:eastAsia="仿宋_GB2312"/>
                <w:sz w:val="21"/>
                <w:color w:val="000000"/>
              </w:rPr>
              <w:t>② 主材选用主流品牌（立邦、多乐士、三棵树等同级别品牌）绿色环保乳胶漆。</w:t>
            </w:r>
          </w:p>
          <w:p>
            <w:pPr>
              <w:pStyle w:val="null3"/>
              <w:jc w:val="both"/>
            </w:pPr>
            <w:r>
              <w:rPr>
                <w:rFonts w:ascii="仿宋_GB2312" w:hAnsi="仿宋_GB2312" w:cs="仿宋_GB2312" w:eastAsia="仿宋_GB2312"/>
                <w:sz w:val="21"/>
                <w:color w:val="000000"/>
              </w:rPr>
              <w:t>加装电源插座：</w:t>
            </w:r>
          </w:p>
          <w:p>
            <w:pPr>
              <w:pStyle w:val="null3"/>
              <w:jc w:val="both"/>
            </w:pPr>
            <w:r>
              <w:rPr>
                <w:rFonts w:ascii="仿宋_GB2312" w:hAnsi="仿宋_GB2312" w:cs="仿宋_GB2312" w:eastAsia="仿宋_GB2312"/>
                <w:sz w:val="21"/>
                <w:color w:val="000000"/>
              </w:rPr>
              <w:t>①宿舍内墙面开槽穿管敷设电源线</w:t>
            </w:r>
          </w:p>
          <w:p>
            <w:pPr>
              <w:pStyle w:val="null3"/>
              <w:jc w:val="both"/>
            </w:pPr>
            <w:r>
              <w:rPr>
                <w:rFonts w:ascii="仿宋_GB2312" w:hAnsi="仿宋_GB2312" w:cs="仿宋_GB2312" w:eastAsia="仿宋_GB2312"/>
                <w:sz w:val="21"/>
                <w:color w:val="000000"/>
              </w:rPr>
              <w:t>②安装暗装插座</w:t>
            </w:r>
          </w:p>
          <w:p>
            <w:pPr>
              <w:pStyle w:val="null3"/>
              <w:jc w:val="both"/>
            </w:pPr>
            <w:r>
              <w:rPr>
                <w:rFonts w:ascii="仿宋_GB2312" w:hAnsi="仿宋_GB2312" w:cs="仿宋_GB2312" w:eastAsia="仿宋_GB2312"/>
                <w:sz w:val="21"/>
                <w:color w:val="000000"/>
              </w:rPr>
              <w:t>③ 主材选用主流品牌（公牛、施耐德、德力西等同级别品牌）</w:t>
            </w:r>
          </w:p>
          <w:p>
            <w:pPr>
              <w:pStyle w:val="null3"/>
              <w:jc w:val="both"/>
            </w:pPr>
            <w:r>
              <w:rPr>
                <w:rFonts w:ascii="仿宋_GB2312" w:hAnsi="仿宋_GB2312" w:cs="仿宋_GB2312" w:eastAsia="仿宋_GB2312"/>
                <w:sz w:val="21"/>
                <w:color w:val="000000"/>
              </w:rPr>
              <w:t>油漆部分：</w:t>
            </w:r>
          </w:p>
          <w:p>
            <w:pPr>
              <w:pStyle w:val="null3"/>
              <w:jc w:val="both"/>
            </w:pPr>
            <w:r>
              <w:rPr>
                <w:rFonts w:ascii="仿宋_GB2312" w:hAnsi="仿宋_GB2312" w:cs="仿宋_GB2312" w:eastAsia="仿宋_GB2312"/>
                <w:sz w:val="21"/>
                <w:color w:val="000000"/>
              </w:rPr>
              <w:t>① 铲除修补起皮空鼓部分</w:t>
            </w:r>
          </w:p>
          <w:p>
            <w:pPr>
              <w:pStyle w:val="null3"/>
              <w:jc w:val="both"/>
            </w:pPr>
            <w:r>
              <w:rPr>
                <w:rFonts w:ascii="仿宋_GB2312" w:hAnsi="仿宋_GB2312" w:cs="仿宋_GB2312" w:eastAsia="仿宋_GB2312"/>
                <w:sz w:val="21"/>
                <w:color w:val="000000"/>
              </w:rPr>
              <w:t>② 基层处理，整体打磨平整，刷两遍漆。</w:t>
            </w:r>
          </w:p>
          <w:p>
            <w:pPr>
              <w:pStyle w:val="null3"/>
              <w:jc w:val="both"/>
            </w:pPr>
            <w:r>
              <w:rPr>
                <w:rFonts w:ascii="仿宋_GB2312" w:hAnsi="仿宋_GB2312" w:cs="仿宋_GB2312" w:eastAsia="仿宋_GB2312"/>
                <w:sz w:val="21"/>
                <w:color w:val="000000"/>
              </w:rPr>
              <w:t>③ 主材为主流品牌（宝塔山、经建、星邦等同级别品牌）醇酸磁漆。</w:t>
            </w:r>
          </w:p>
          <w:p>
            <w:pPr>
              <w:pStyle w:val="null3"/>
              <w:jc w:val="both"/>
            </w:pPr>
            <w:r>
              <w:rPr>
                <w:rFonts w:ascii="仿宋_GB2312" w:hAnsi="仿宋_GB2312" w:cs="仿宋_GB2312" w:eastAsia="仿宋_GB2312"/>
                <w:sz w:val="21"/>
                <w:color w:val="000000"/>
              </w:rPr>
              <w:t>施工中床、家具等物品的搬移，空调、电扇、门窗等污染保护，现场卫生清理等费用一并综合考虑。</w:t>
            </w:r>
          </w:p>
          <w:p>
            <w:pPr>
              <w:pStyle w:val="null3"/>
              <w:jc w:val="both"/>
            </w:pPr>
            <w:r>
              <w:rPr>
                <w:rFonts w:ascii="仿宋_GB2312" w:hAnsi="仿宋_GB2312" w:cs="仿宋_GB2312" w:eastAsia="仿宋_GB2312"/>
                <w:sz w:val="21"/>
                <w:color w:val="000000"/>
              </w:rPr>
              <w:t>清洗部分：</w:t>
            </w:r>
          </w:p>
          <w:p>
            <w:pPr>
              <w:pStyle w:val="null3"/>
              <w:jc w:val="both"/>
            </w:pPr>
            <w:r>
              <w:rPr>
                <w:rFonts w:ascii="仿宋_GB2312" w:hAnsi="仿宋_GB2312" w:cs="仿宋_GB2312" w:eastAsia="仿宋_GB2312"/>
                <w:sz w:val="21"/>
                <w:color w:val="000000"/>
              </w:rPr>
              <w:t>对各宿舍卫生间瓷砖墙面、蹲便、面盆进行专业深度清洁。</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2、卫生</w:t>
            </w:r>
          </w:p>
          <w:p>
            <w:pPr>
              <w:pStyle w:val="null3"/>
              <w:jc w:val="both"/>
            </w:pPr>
            <w:r>
              <w:rPr>
                <w:rFonts w:ascii="仿宋_GB2312" w:hAnsi="仿宋_GB2312" w:cs="仿宋_GB2312" w:eastAsia="仿宋_GB2312"/>
                <w:sz w:val="21"/>
                <w:color w:val="000000"/>
              </w:rPr>
              <w:t>卫生要求达到新生入住标准，保证新生入住时干净整洁，具体是：窗门框、玻璃、门锁、灯、风扇、桌、凳、床、柜、开关插座、地面、面盆、马桶等清理干净，乳胶漆滴痕，床柜等宿舍设施按要求摆放到位。</w:t>
            </w:r>
          </w:p>
          <w:tbl>
            <w:tblPr>
              <w:tblBorders>
                <w:top w:val="none" w:color="000000" w:sz="4"/>
                <w:left w:val="none" w:color="000000" w:sz="4"/>
                <w:bottom w:val="none" w:color="000000" w:sz="4"/>
                <w:right w:val="none" w:color="000000" w:sz="4"/>
                <w:insideH w:val="none"/>
                <w:insideV w:val="none"/>
              </w:tblBorders>
            </w:tblPr>
            <w:tblGrid>
              <w:gridCol w:w="189"/>
              <w:gridCol w:w="871"/>
              <w:gridCol w:w="508"/>
              <w:gridCol w:w="497"/>
              <w:gridCol w:w="474"/>
            </w:tblGrid>
            <w:tr>
              <w:tc>
                <w:tcPr>
                  <w:tcW w:type="dxa" w:w="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87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47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工程量</w:t>
                  </w:r>
                </w:p>
              </w:tc>
            </w:tr>
            <w:tr>
              <w:tc>
                <w:tcPr>
                  <w:tcW w:type="dxa" w:w="189"/>
                  <w:vMerge/>
                  <w:tcBorders>
                    <w:top w:val="single" w:color="000000" w:sz="4"/>
                    <w:left w:val="single" w:color="000000" w:sz="4"/>
                    <w:bottom w:val="single" w:color="000000" w:sz="4"/>
                    <w:right w:val="single" w:color="000000" w:sz="4"/>
                  </w:tcBorders>
                </w:tcPr>
                <w:p/>
              </w:tc>
              <w:tc>
                <w:tcPr>
                  <w:tcW w:type="dxa" w:w="871"/>
                  <w:vMerge/>
                  <w:tcBorders>
                    <w:top w:val="singl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房间数量</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单个房间工程量</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总量</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宿舍粉刷（</w:t>
                  </w:r>
                  <w:r>
                    <w:rPr>
                      <w:rFonts w:ascii="仿宋_GB2312" w:hAnsi="仿宋_GB2312" w:cs="仿宋_GB2312" w:eastAsia="仿宋_GB2312"/>
                      <w:sz w:val="21"/>
                      <w:color w:val="000000"/>
                    </w:rPr>
                    <w:t>2、3、4号）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83.00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13197.00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宿舍粉刷（</w:t>
                  </w:r>
                  <w:r>
                    <w:rPr>
                      <w:rFonts w:ascii="仿宋_GB2312" w:hAnsi="仿宋_GB2312" w:cs="仿宋_GB2312" w:eastAsia="仿宋_GB2312"/>
                      <w:sz w:val="21"/>
                      <w:color w:val="000000"/>
                    </w:rPr>
                    <w:t>5号）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89.00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4183.00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宿舍粉刷（</w:t>
                  </w:r>
                  <w:r>
                    <w:rPr>
                      <w:rFonts w:ascii="仿宋_GB2312" w:hAnsi="仿宋_GB2312" w:cs="仿宋_GB2312" w:eastAsia="仿宋_GB2312"/>
                      <w:sz w:val="21"/>
                      <w:color w:val="000000"/>
                    </w:rPr>
                    <w:t>6号）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64.30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578.70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线路敷设</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2692.80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插座安装</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1632.00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门油漆（</w:t>
                  </w:r>
                  <w:r>
                    <w:rPr>
                      <w:rFonts w:ascii="仿宋_GB2312" w:hAnsi="仿宋_GB2312" w:cs="仿宋_GB2312" w:eastAsia="仿宋_GB2312"/>
                      <w:sz w:val="21"/>
                      <w:color w:val="000000"/>
                    </w:rPr>
                    <w:t>2、3、4、5号）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204.00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3.96</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807.84</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门油漆（</w:t>
                  </w:r>
                  <w:r>
                    <w:rPr>
                      <w:rFonts w:ascii="仿宋_GB2312" w:hAnsi="仿宋_GB2312" w:cs="仿宋_GB2312" w:eastAsia="仿宋_GB2312"/>
                      <w:sz w:val="21"/>
                      <w:color w:val="000000"/>
                    </w:rPr>
                    <w:t>6号）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32.85</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清洗费用</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206.00</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公共区域粉刷</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3000.00</w:t>
                  </w:r>
                </w:p>
              </w:tc>
            </w:tr>
          </w:tbl>
          <w:p>
            <w:pPr>
              <w:pStyle w:val="null3"/>
              <w:jc w:val="both"/>
            </w:pPr>
            <w:r>
              <w:rPr>
                <w:rFonts w:ascii="仿宋_GB2312" w:hAnsi="仿宋_GB2312" w:cs="仿宋_GB2312" w:eastAsia="仿宋_GB2312"/>
                <w:sz w:val="21"/>
                <w:color w:val="000000"/>
              </w:rPr>
              <w:t>注：门油漆计量方式为门洞阴影面积，公共区域作为其他宿舍粉刷及公共空间零星粉刷调配。</w:t>
            </w:r>
          </w:p>
          <w:p>
            <w:pPr>
              <w:pStyle w:val="null3"/>
              <w:jc w:val="both"/>
            </w:pPr>
            <w:r>
              <w:rPr>
                <w:rFonts w:ascii="仿宋_GB2312" w:hAnsi="仿宋_GB2312" w:cs="仿宋_GB2312" w:eastAsia="仿宋_GB2312"/>
                <w:sz w:val="21"/>
                <w:color w:val="000000"/>
              </w:rPr>
              <w:t>说明：施工范围包含</w:t>
            </w:r>
            <w:r>
              <w:rPr>
                <w:rFonts w:ascii="仿宋_GB2312" w:hAnsi="仿宋_GB2312" w:cs="仿宋_GB2312" w:eastAsia="仿宋_GB2312"/>
                <w:sz w:val="21"/>
                <w:color w:val="000000"/>
              </w:rPr>
              <w:t>3号公寓</w:t>
            </w:r>
            <w:r>
              <w:rPr>
                <w:rFonts w:ascii="仿宋_GB2312" w:hAnsi="仿宋_GB2312" w:cs="仿宋_GB2312" w:eastAsia="仿宋_GB2312"/>
                <w:sz w:val="21"/>
                <w:color w:val="000000"/>
              </w:rPr>
              <w:t>14</w:t>
            </w:r>
            <w:r>
              <w:rPr>
                <w:rFonts w:ascii="仿宋_GB2312" w:hAnsi="仿宋_GB2312" w:cs="仿宋_GB2312" w:eastAsia="仿宋_GB2312"/>
                <w:sz w:val="21"/>
                <w:color w:val="000000"/>
              </w:rPr>
              <w:t>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1、工期：于2025年8月20日前完工。2、付款方式： 本项目无预付款，竣工验收合格后支付至合同总价款的 80% ，审计结束后，支付至审定结算总价的97%，剩余3%作为保修金，竣工验收合格缺陷责任期满后免息支付（扣除相关应扣费用）。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供应商具有独立承担民事责任的法人、其他组织或自然人，提供合法有效的统一社会信用代码营业执照（事业单位法人证书/非企业专业服务机构执业许可证/自然人身份证自然人提供身份证明）；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法定代表人或其授权代理人</w:t>
            </w:r>
          </w:p>
        </w:tc>
        <w:tc>
          <w:tcPr>
            <w:tcW w:type="dxa" w:w="3322"/>
          </w:tcPr>
          <w:p>
            <w:pPr>
              <w:pStyle w:val="null3"/>
            </w:pPr>
            <w:r>
              <w:rPr>
                <w:rFonts w:ascii="仿宋_GB2312" w:hAnsi="仿宋_GB2312" w:cs="仿宋_GB2312" w:eastAsia="仿宋_GB2312"/>
              </w:rPr>
              <w:t>法定代表人授权书及授权代表身份证明（法定代表人直接参加投标的须提供法定代表人证明书及其身份证明），非法人单位参照执行；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供应商具备建设行政主管部门颁发的建筑工程施工总承包三级（含）及以上或建筑装修装饰工程专业承包二级（含）及以上资质，且具有有效的安全生产许可证；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项目经理需具备建筑工程专业二级（含二级）及以上注册建造师证书和有效的安全生产考核合格证，在本单位注册且无在建工程；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 xml:space="preserve"> 财务状况报告</w:t>
            </w:r>
          </w:p>
        </w:tc>
        <w:tc>
          <w:tcPr>
            <w:tcW w:type="dxa" w:w="3322"/>
          </w:tcPr>
          <w:p>
            <w:pPr>
              <w:pStyle w:val="null3"/>
            </w:pPr>
            <w:r>
              <w:rPr>
                <w:rFonts w:ascii="仿宋_GB2312" w:hAnsi="仿宋_GB2312" w:cs="仿宋_GB2312" w:eastAsia="仿宋_GB2312"/>
              </w:rPr>
              <w:t>提供经审计的2023年度或2024年度的财务报告（包括审计报告、资产负债表、利润表、现金流量表及附注）或在开标日期前六个月内其基本账户开户银行出具的资信证明（附开户许可证或开户备案证明或基本账户信息）；其他组织和自然人提供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提供投标截止时间前12个月内任意一个月缴纳税收的凭据；依法免税的或者依法不需缴税的投标人应提供相关文件证明；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提供投标截止时间前12个月内任意一个月已缴纳的社会保障资金的凭据；依法不需要缴纳社会保障资金的投标人应提供相关文件证明；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（1）提供具有履行本合同所必需的设备和专业技术能力的声明：（2）参加本次政府采购活动前3年内在经营活动中没有重大违纪书面声明；（3）非联合体声明。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投标人被“信用中国”网站列入失信被执行人、重大税收违法失信主体的，投标人被“中国政府采购网”网站列入政府采购严重违法失信名单的，不得参与本项目投标 注：以代理机构开标现场查询为准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已标价工程量清单-采购包2.docx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响应文件封面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报价函 标的清单 已标价工程量清单-采购包2.docx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标的清单 技术、商务及其他条款偏离表.docx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标的清单 技术、商务及其他条款偏离表.docx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技术、商务及其他条款偏离表.docx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响应文件封面 技术、商务及其他条款偏离表.docx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方案内容全面，合规性、可行性强，得8分； 方案满足要求，可行性和针对性较强，得6分； 方案基本满足要求，有一定的可行性和针对性，得4分； 方案内容简单笼统，具有较低的可行性、针对性，得3分； 方案内容欠缺，缺乏针对性，得2分；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各种设备配置齐全，材料充足，得7分； 各种设备配置较齐全，材料较充足，得6分； 各种设备配置、材料基本满足采购需求，得5分； 各种设备配置、材料勉强满足项目需求得3分； 各种设备配置不齐全，材料不足，不能满足项目需求得1分；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劳动力安排计划详细，合理，完全满足项目需求得7分； 劳动力安排计划满足要求，较合理，得6分； 劳动力安排计划基本满足要求，基本合理，得5分； 劳动力安排计划笼统，合理性一般，得3分；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项目部人员配备合理、分工科学、专业知识构架全面、岗位职责明确，得7分； 项目部人员配备较合理、分工较科学、岗位职责明确，得6分； 项目部人员配备基本合理、分工基本科学、岗位职责明确，得4分； 项目部人员配备合理性一般、分工明确，得3分 项目部人员配备不合理，得2分；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采用新技术、新产品、新工艺、新材料对提高质量、缩短工期、降低造价有极佳影响得7分； 影响较好得6分； 有一定影响得5分； 影响一般得3分； 影响较差得1分；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供应商自2022年1月1日以来类似项目业绩（业绩以合同复印件加盖公章为准）：每提供一份有效业绩证明得2分，满分为6分。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满足竞争性磋商文件要求且响应报价最低的响应总报价为评标基准价，其价格分为满分30分。2.响应总报价得分=(评标基准价／响应总报价)×30%×100计算分数时四舍五入取小数点后两位。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详见附件：已标价工程量清单-采购包2.docx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详见附件：技术、商务及其他条款偏离表.docx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详见附件：西安美术学院2024年度1,2及研究生公寓毕业生宿舍粉刷项目合同.docx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