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版本号：SX-JSZB(2025)-00220250610001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视频型海报制作项目(二次)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SX-JSZB(2025)-002</w:t>
      </w:r>
      <w:r>
        <w:br/>
      </w:r>
      <w:r>
        <w:br/>
      </w:r>
      <w:r>
        <w:br/>
      </w:r>
    </w:p>
    <w:p>
      <w:pPr>
        <w:pStyle w:val="null3"/>
        <w:jc w:val="center"/>
        <w:outlineLvl w:val="2"/>
      </w:pPr>
      <w:r>
        <w:rPr>
          <w:rFonts w:ascii="仿宋_GB2312" w:hAnsi="仿宋_GB2312" w:cs="仿宋_GB2312" w:eastAsia="仿宋_GB2312"/>
          <w:sz w:val="28"/>
          <w:b/>
        </w:rPr>
        <w:t>陕西省福利彩票发行中心</w:t>
      </w:r>
    </w:p>
    <w:p>
      <w:pPr>
        <w:pStyle w:val="null3"/>
        <w:jc w:val="center"/>
        <w:outlineLvl w:val="2"/>
      </w:pPr>
      <w:r>
        <w:rPr>
          <w:rFonts w:ascii="仿宋_GB2312" w:hAnsi="仿宋_GB2312" w:cs="仿宋_GB2312" w:eastAsia="仿宋_GB2312"/>
          <w:sz w:val="28"/>
          <w:b/>
        </w:rPr>
        <w:t>陕西巨思项目管理有限公司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陕西巨思项目管理有限公司</w:t>
      </w:r>
      <w:r>
        <w:rPr>
          <w:rFonts w:ascii="仿宋_GB2312" w:hAnsi="仿宋_GB2312" w:cs="仿宋_GB2312" w:eastAsia="仿宋_GB2312"/>
        </w:rPr>
        <w:t>（以下简称“代理机构”）受</w:t>
      </w:r>
      <w:r>
        <w:rPr>
          <w:rFonts w:ascii="仿宋_GB2312" w:hAnsi="仿宋_GB2312" w:cs="仿宋_GB2312" w:eastAsia="仿宋_GB2312"/>
        </w:rPr>
        <w:t>陕西省福利彩票发行中心</w:t>
      </w:r>
      <w:r>
        <w:rPr>
          <w:rFonts w:ascii="仿宋_GB2312" w:hAnsi="仿宋_GB2312" w:cs="仿宋_GB2312" w:eastAsia="仿宋_GB2312"/>
        </w:rPr>
        <w:t>委托，拟对</w:t>
      </w:r>
      <w:r>
        <w:rPr>
          <w:rFonts w:ascii="仿宋_GB2312" w:hAnsi="仿宋_GB2312" w:cs="仿宋_GB2312" w:eastAsia="仿宋_GB2312"/>
        </w:rPr>
        <w:t>视频型海报制作项目(二次)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SX-JSZB(2025)-002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视频型海报制作项目(二次)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视频型海报制作总体规划为以下三个板块：（一）“热点推广”海报，包含：APP应用推广及特色功能推广及营销活动推广。（二）“福彩营销内容”海报，包含：开奖号热号统计、遗漏号冷号统计、玩法截图选号、福彩实时热点、福彩温馨提示及福彩知识科普等。（三）常态化宣传海报，包含：公益宣传主题、“中国传统节日”主题及“中国传统二十四节气”主题。全年共制作视频型海报235版，每版时长20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采购包1（视频型海报制作项目）：属于专门面向中小企业采购。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2、财务状况报告：提供2024年度经审计的财务报告（成立时间至提交响应文件截止时间不足一年的可提供成立后任意时段的资产负债表），或其基本存款账户开户银行出具的资信证明及基本存款账户证明；</w:t>
      </w:r>
    </w:p>
    <w:p>
      <w:pPr>
        <w:pStyle w:val="null3"/>
      </w:pPr>
      <w:r>
        <w:rPr>
          <w:rFonts w:ascii="仿宋_GB2312" w:hAnsi="仿宋_GB2312" w:cs="仿宋_GB2312" w:eastAsia="仿宋_GB2312"/>
        </w:rPr>
        <w:t>3、税收缴纳证明：提供投标截止日前6个月内已缴纳的至少一个月的纳税证明或完税证明（增值税或印花税等税种），依法免税的单位应提供相关证明材料；</w:t>
      </w:r>
    </w:p>
    <w:p>
      <w:pPr>
        <w:pStyle w:val="null3"/>
      </w:pPr>
      <w:r>
        <w:rPr>
          <w:rFonts w:ascii="仿宋_GB2312" w:hAnsi="仿宋_GB2312" w:cs="仿宋_GB2312" w:eastAsia="仿宋_GB2312"/>
        </w:rPr>
        <w:t>4、社会保障资金缴纳证明：提供投标截止日前6个月内已缴存的至少一个月的社会 保障资金缴存单据或社保机构开具的社会保险参保缴费 情况证明，依法不需要缴纳社会保障资金的单位应提供 相关证明材料；</w:t>
      </w:r>
    </w:p>
    <w:p>
      <w:pPr>
        <w:pStyle w:val="null3"/>
      </w:pPr>
      <w:r>
        <w:rPr>
          <w:rFonts w:ascii="仿宋_GB2312" w:hAnsi="仿宋_GB2312" w:cs="仿宋_GB2312" w:eastAsia="仿宋_GB2312"/>
        </w:rPr>
        <w:t>5、专业技术能力证明：提供具有履行合同所必需的设备和专业技术能力的承诺；</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7、中小企业声明：本项目为专门面向中小企业采购项目须根据《政府采购促进中小企业发展管理办法》（财库﹝2020﹞46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8、法定代表人证明书或授权委托书：非法定代表人参加投标，须提供法定代表人授权委托书及被授权人身份证原件；法定代表人参加投标时,须提供法人身份证明书及法定代表人身份证原件；</w:t>
      </w:r>
    </w:p>
    <w:p>
      <w:pPr>
        <w:pStyle w:val="null3"/>
      </w:pPr>
      <w:r>
        <w:rPr>
          <w:rFonts w:ascii="仿宋_GB2312" w:hAnsi="仿宋_GB2312" w:cs="仿宋_GB2312" w:eastAsia="仿宋_GB2312"/>
        </w:rPr>
        <w:t>9、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65678342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陕西省西安市未央区陕西省西安市经济技术开发区凤城八路158号20幢6层110609室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董星、郑凌汐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19992817810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开户名称：陕西巨思项目管理有限公司</w:t>
            </w:r>
          </w:p>
          <w:p>
            <w:pPr>
              <w:pStyle w:val="null3"/>
            </w:pPr>
            <w:r>
              <w:rPr>
                <w:rFonts w:ascii="仿宋_GB2312" w:hAnsi="仿宋_GB2312" w:cs="仿宋_GB2312" w:eastAsia="仿宋_GB2312"/>
              </w:rPr>
              <w:t>开户银行：中国建设银行股份有限公司西安中央领郡支行</w:t>
            </w:r>
          </w:p>
          <w:p>
            <w:pPr>
              <w:pStyle w:val="null3"/>
            </w:pPr>
            <w:r>
              <w:rPr>
                <w:rFonts w:ascii="仿宋_GB2312" w:hAnsi="仿宋_GB2312" w:cs="仿宋_GB2312" w:eastAsia="仿宋_GB2312"/>
              </w:rPr>
              <w:t>银行账号：6105 0190 0042 0000 0459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陕西省福利彩票发行中心</w:t>
      </w:r>
      <w:r>
        <w:rPr>
          <w:rFonts w:ascii="仿宋_GB2312" w:hAnsi="仿宋_GB2312" w:cs="仿宋_GB2312" w:eastAsia="仿宋_GB2312"/>
        </w:rPr>
        <w:t>和</w:t>
      </w:r>
      <w:r>
        <w:rPr>
          <w:rFonts w:ascii="仿宋_GB2312" w:hAnsi="仿宋_GB2312" w:cs="仿宋_GB2312" w:eastAsia="仿宋_GB2312"/>
        </w:rPr>
        <w:t>陕西巨思项目管理有限公司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陕西省福利彩票发行中心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采购文件规定的要求和响应文件及合同承诺的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联系人：董星</w:t>
      </w:r>
    </w:p>
    <w:p>
      <w:pPr>
        <w:pStyle w:val="null3"/>
      </w:pPr>
      <w:r>
        <w:rPr>
          <w:rFonts w:ascii="仿宋_GB2312" w:hAnsi="仿宋_GB2312" w:cs="仿宋_GB2312" w:eastAsia="仿宋_GB2312"/>
        </w:rPr>
        <w:t>联系电话：19992817810</w:t>
      </w:r>
    </w:p>
    <w:p>
      <w:pPr>
        <w:pStyle w:val="null3"/>
      </w:pPr>
      <w:r>
        <w:rPr>
          <w:rFonts w:ascii="仿宋_GB2312" w:hAnsi="仿宋_GB2312" w:cs="仿宋_GB2312" w:eastAsia="仿宋_GB2312"/>
        </w:rPr>
        <w:t>地址：陕西省西安市经济技术开发区凤城八路158号20幢1单元6楼609室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视频型海报制作总体规划为以下三个板块：（一）“热点推广”海报，包含：APP应用推广及特色功能推广及营销活动推广。（二）“福彩营销内容”海报，包含：开奖号热号统计、遗漏号冷号统计、玩法截图选号、福彩实时热点、福彩温馨提示及福彩知识科普等。（三）常态化宣传海报，包含：公益宣传主题、“中国传统节日”主题及“中国传统二十四节气”主题。全年共制作视频型海报235版，每版时长20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视频型海报制作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标的名称：视频型海报制作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rPr>
              <w:t>一、项目内容</w:t>
            </w:r>
          </w:p>
          <w:p>
            <w:pPr>
              <w:pStyle w:val="null3"/>
            </w:pPr>
            <w:r>
              <w:rPr>
                <w:rFonts w:ascii="仿宋_GB2312" w:hAnsi="仿宋_GB2312" w:cs="仿宋_GB2312" w:eastAsia="仿宋_GB2312"/>
              </w:rPr>
              <w:t>（一）“热点推广”海报</w:t>
            </w:r>
          </w:p>
          <w:p>
            <w:pPr>
              <w:pStyle w:val="null3"/>
            </w:pPr>
            <w:r>
              <w:rPr>
                <w:rFonts w:ascii="仿宋_GB2312" w:hAnsi="仿宋_GB2312" w:cs="仿宋_GB2312" w:eastAsia="仿宋_GB2312"/>
              </w:rPr>
              <w:t>1.APP应用推广及特色功能推广：结合APP的应用特点，制作与APP推广相关的宣传海报。如：注册、验奖、积分兑换等指引操作。有效引导用户下载“陕西福彩APP”。每月2版，年度共计24版，每版时长为20"。</w:t>
            </w:r>
          </w:p>
          <w:p>
            <w:pPr>
              <w:pStyle w:val="null3"/>
            </w:pPr>
            <w:r>
              <w:rPr>
                <w:rFonts w:ascii="仿宋_GB2312" w:hAnsi="仿宋_GB2312" w:cs="仿宋_GB2312" w:eastAsia="仿宋_GB2312"/>
              </w:rPr>
              <w:t>2.营销活动推广：根据中心全年营销活动安排，及时制作发布动态活动海报，通过短平快的视频展示，使用户更加便捷的了解各项活动参与指南，提高活动规则在投注站及彩民间的知晓率。每两个月1版，年度共计6版，每版时长为20"。</w:t>
            </w:r>
          </w:p>
          <w:p>
            <w:pPr>
              <w:pStyle w:val="null3"/>
            </w:pPr>
            <w:r>
              <w:rPr>
                <w:rFonts w:ascii="仿宋_GB2312" w:hAnsi="仿宋_GB2312" w:cs="仿宋_GB2312" w:eastAsia="仿宋_GB2312"/>
              </w:rPr>
              <w:t>（二）“福彩营销内容”海报</w:t>
            </w:r>
          </w:p>
          <w:p>
            <w:pPr>
              <w:pStyle w:val="null3"/>
            </w:pPr>
            <w:r>
              <w:rPr>
                <w:rFonts w:ascii="仿宋_GB2312" w:hAnsi="仿宋_GB2312" w:cs="仿宋_GB2312" w:eastAsia="仿宋_GB2312"/>
              </w:rPr>
              <w:t>1.开奖号热号统计：统计往期福彩热门游戏（双色球、3D、快乐8）的开奖信息，制作热号动态海报。每周1版，年度共计48版，每版时长为20"。</w:t>
            </w:r>
          </w:p>
          <w:p>
            <w:pPr>
              <w:pStyle w:val="null3"/>
            </w:pPr>
            <w:r>
              <w:rPr>
                <w:rFonts w:ascii="仿宋_GB2312" w:hAnsi="仿宋_GB2312" w:cs="仿宋_GB2312" w:eastAsia="仿宋_GB2312"/>
              </w:rPr>
              <w:t>2.遗漏号冷号统计：统计往期福彩热门游戏（双色球、3D、快乐8）的开奖信息，制作冷号动态海报。每月1版，年度共计12版，每版时长为20"。</w:t>
            </w:r>
          </w:p>
          <w:p>
            <w:pPr>
              <w:pStyle w:val="null3"/>
            </w:pPr>
            <w:r>
              <w:rPr>
                <w:rFonts w:ascii="仿宋_GB2312" w:hAnsi="仿宋_GB2312" w:cs="仿宋_GB2312" w:eastAsia="仿宋_GB2312"/>
              </w:rPr>
              <w:t>3.玩法截图选号：为满足站点及彩民选号需求，重点推出“截图选号”主题服务。每周1版，年度共计48版，每版时长为20"。</w:t>
            </w:r>
          </w:p>
          <w:p>
            <w:pPr>
              <w:pStyle w:val="null3"/>
            </w:pPr>
            <w:r>
              <w:rPr>
                <w:rFonts w:ascii="仿宋_GB2312" w:hAnsi="仿宋_GB2312" w:cs="仿宋_GB2312" w:eastAsia="仿宋_GB2312"/>
              </w:rPr>
              <w:t>4.福彩实时热点：及时制作发布中奖动态海报，提高彩票市场热度。每月2版，年度共计24版，每版时长为20"。</w:t>
            </w:r>
          </w:p>
          <w:p>
            <w:pPr>
              <w:pStyle w:val="null3"/>
            </w:pPr>
            <w:r>
              <w:rPr>
                <w:rFonts w:ascii="仿宋_GB2312" w:hAnsi="仿宋_GB2312" w:cs="仿宋_GB2312" w:eastAsia="仿宋_GB2312"/>
              </w:rPr>
              <w:t>5.福彩温馨提示：围绕“福彩宗旨、理性购彩、及时兑奖、开市休市”等话题制作发布动态海报。年度共12版，每版时长为20"。</w:t>
            </w:r>
          </w:p>
          <w:p>
            <w:pPr>
              <w:pStyle w:val="null3"/>
            </w:pPr>
            <w:r>
              <w:rPr>
                <w:rFonts w:ascii="仿宋_GB2312" w:hAnsi="仿宋_GB2312" w:cs="仿宋_GB2312" w:eastAsia="仿宋_GB2312"/>
              </w:rPr>
              <w:t>6.福彩知识科普：围绕福彩各游戏玩法相关知识科普，制作发布动态海报。每月1版，年度共计12版，每版时长为20"。</w:t>
            </w:r>
          </w:p>
          <w:p>
            <w:pPr>
              <w:pStyle w:val="null3"/>
            </w:pPr>
            <w:r>
              <w:rPr>
                <w:rFonts w:ascii="仿宋_GB2312" w:hAnsi="仿宋_GB2312" w:cs="仿宋_GB2312" w:eastAsia="仿宋_GB2312"/>
              </w:rPr>
              <w:t>（三）常态化宣传海报：</w:t>
            </w:r>
          </w:p>
          <w:p>
            <w:pPr>
              <w:pStyle w:val="null3"/>
            </w:pPr>
            <w:r>
              <w:rPr>
                <w:rFonts w:ascii="仿宋_GB2312" w:hAnsi="仿宋_GB2312" w:cs="仿宋_GB2312" w:eastAsia="仿宋_GB2312"/>
              </w:rPr>
              <w:t>1.公益宣传主题：围绕福彩文化、理念、公益活动及公益驿站等内容，制作发布动态海报。每月1版，年度共计12版，每版时长为20"。</w:t>
            </w:r>
          </w:p>
          <w:p>
            <w:pPr>
              <w:pStyle w:val="null3"/>
            </w:pPr>
            <w:r>
              <w:rPr>
                <w:rFonts w:ascii="仿宋_GB2312" w:hAnsi="仿宋_GB2312" w:cs="仿宋_GB2312" w:eastAsia="仿宋_GB2312"/>
              </w:rPr>
              <w:t>2.“中国传统节日”主题：围绕全年重大传统节日，制作发布符合节日气氛的动态海报。年度共计13版，每版时长为20"。</w:t>
            </w:r>
          </w:p>
          <w:p>
            <w:pPr>
              <w:pStyle w:val="null3"/>
            </w:pPr>
            <w:r>
              <w:rPr>
                <w:rFonts w:ascii="仿宋_GB2312" w:hAnsi="仿宋_GB2312" w:cs="仿宋_GB2312" w:eastAsia="仿宋_GB2312"/>
              </w:rPr>
              <w:t>3.“中国传统二十四节气”主题：以二十四节气为文化载体，传递福彩品牌理念。年度共计24版，每版时长为20"。</w:t>
            </w:r>
          </w:p>
          <w:p>
            <w:pPr>
              <w:pStyle w:val="null3"/>
            </w:pPr>
            <w:r>
              <w:rPr>
                <w:rFonts w:ascii="仿宋_GB2312" w:hAnsi="仿宋_GB2312" w:cs="仿宋_GB2312" w:eastAsia="仿宋_GB2312"/>
              </w:rPr>
              <w:t>全年共制作视频型海报235版。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left"/>
            </w:pPr>
            <w:r>
              <w:rPr>
                <w:rFonts w:ascii="仿宋_GB2312" w:hAnsi="仿宋_GB2312" w:cs="仿宋_GB2312" w:eastAsia="仿宋_GB2312"/>
              </w:rPr>
              <w:t>二、设计制作</w:t>
            </w:r>
          </w:p>
          <w:p>
            <w:pPr>
              <w:pStyle w:val="null3"/>
            </w:pPr>
            <w:r>
              <w:rPr>
                <w:rFonts w:ascii="仿宋_GB2312" w:hAnsi="仿宋_GB2312" w:cs="仿宋_GB2312" w:eastAsia="仿宋_GB2312"/>
              </w:rPr>
              <w:t>1、制作要求</w:t>
            </w:r>
          </w:p>
          <w:p>
            <w:pPr>
              <w:pStyle w:val="null3"/>
            </w:pPr>
            <w:r>
              <w:rPr>
                <w:rFonts w:ascii="仿宋_GB2312" w:hAnsi="仿宋_GB2312" w:cs="仿宋_GB2312" w:eastAsia="仿宋_GB2312"/>
              </w:rPr>
              <w:t>1)时长</w:t>
            </w:r>
          </w:p>
          <w:p>
            <w:pPr>
              <w:pStyle w:val="null3"/>
            </w:pPr>
            <w:r>
              <w:rPr>
                <w:rFonts w:ascii="仿宋_GB2312" w:hAnsi="仿宋_GB2312" w:cs="仿宋_GB2312" w:eastAsia="仿宋_GB2312"/>
              </w:rPr>
              <w:t>动态海报制作时长:共235个版本，20秒电子动态海报成品(用于各平台播出以及户外、展厅及网站类媒体投放)。</w:t>
            </w:r>
          </w:p>
          <w:p>
            <w:pPr>
              <w:pStyle w:val="null3"/>
            </w:pPr>
            <w:r>
              <w:rPr>
                <w:rFonts w:ascii="仿宋_GB2312" w:hAnsi="仿宋_GB2312" w:cs="仿宋_GB2312" w:eastAsia="仿宋_GB2312"/>
              </w:rPr>
              <w:t>2）画质</w:t>
            </w:r>
          </w:p>
          <w:p>
            <w:pPr>
              <w:pStyle w:val="null3"/>
            </w:pPr>
            <w:r>
              <w:rPr>
                <w:rFonts w:ascii="仿宋_GB2312" w:hAnsi="仿宋_GB2312" w:cs="仿宋_GB2312" w:eastAsia="仿宋_GB2312"/>
              </w:rPr>
              <w:t>画质≧高清分辨率（1920×1080像素），并符合各类平台播出要求。</w:t>
            </w:r>
          </w:p>
          <w:p>
            <w:pPr>
              <w:pStyle w:val="null3"/>
            </w:pPr>
            <w:r>
              <w:rPr>
                <w:rFonts w:ascii="仿宋_GB2312" w:hAnsi="仿宋_GB2312" w:cs="仿宋_GB2312" w:eastAsia="仿宋_GB2312"/>
              </w:rPr>
              <w:t>3)配音及字幕</w:t>
            </w:r>
          </w:p>
          <w:p>
            <w:pPr>
              <w:pStyle w:val="null3"/>
            </w:pPr>
            <w:r>
              <w:rPr>
                <w:rFonts w:ascii="仿宋_GB2312" w:hAnsi="仿宋_GB2312" w:cs="仿宋_GB2312" w:eastAsia="仿宋_GB2312"/>
              </w:rPr>
              <w:t>①主题音使用标准普通话</w:t>
            </w:r>
          </w:p>
          <w:p>
            <w:pPr>
              <w:pStyle w:val="null3"/>
            </w:pPr>
            <w:r>
              <w:rPr>
                <w:rFonts w:ascii="仿宋_GB2312" w:hAnsi="仿宋_GB2312" w:cs="仿宋_GB2312" w:eastAsia="仿宋_GB2312"/>
              </w:rPr>
              <w:t>②内嵌简体中文字幕</w:t>
            </w:r>
          </w:p>
          <w:p>
            <w:pPr>
              <w:pStyle w:val="null3"/>
            </w:pPr>
            <w:r>
              <w:rPr>
                <w:rFonts w:ascii="仿宋_GB2312" w:hAnsi="仿宋_GB2312" w:cs="仿宋_GB2312" w:eastAsia="仿宋_GB2312"/>
              </w:rPr>
              <w:t>4)兼容性</w:t>
            </w:r>
          </w:p>
          <w:p>
            <w:pPr>
              <w:pStyle w:val="null3"/>
            </w:pPr>
            <w:r>
              <w:rPr>
                <w:rFonts w:ascii="仿宋_GB2312" w:hAnsi="仿宋_GB2312" w:cs="仿宋_GB2312" w:eastAsia="仿宋_GB2312"/>
              </w:rPr>
              <w:t>①各项技术指标应满足媒体平台投放相关要求。</w:t>
            </w:r>
          </w:p>
          <w:p>
            <w:pPr>
              <w:pStyle w:val="null3"/>
            </w:pPr>
            <w:r>
              <w:rPr>
                <w:rFonts w:ascii="仿宋_GB2312" w:hAnsi="仿宋_GB2312" w:cs="仿宋_GB2312" w:eastAsia="仿宋_GB2312"/>
              </w:rPr>
              <w:t>②支持常规 PC、笔记本、平板电脑以及主流移动设备。</w:t>
            </w:r>
          </w:p>
          <w:p>
            <w:pPr>
              <w:pStyle w:val="null3"/>
            </w:pPr>
            <w:r>
              <w:rPr>
                <w:rFonts w:ascii="仿宋_GB2312" w:hAnsi="仿宋_GB2312" w:cs="仿宋_GB2312" w:eastAsia="仿宋_GB2312"/>
              </w:rPr>
              <w:t>③支持双声道立体声系统。</w:t>
            </w:r>
          </w:p>
          <w:p>
            <w:pPr>
              <w:pStyle w:val="null3"/>
            </w:pPr>
            <w:r>
              <w:rPr>
                <w:rFonts w:ascii="仿宋_GB2312" w:hAnsi="仿宋_GB2312" w:cs="仿宋_GB2312" w:eastAsia="仿宋_GB2312"/>
              </w:rPr>
              <w:t>2、投标人负责招标项目的创意脚本撰写、素材、剪辑、配音、后期处理等工作。</w:t>
            </w:r>
          </w:p>
          <w:p>
            <w:pPr>
              <w:pStyle w:val="null3"/>
            </w:pPr>
            <w:r>
              <w:rPr>
                <w:rFonts w:ascii="仿宋_GB2312" w:hAnsi="仿宋_GB2312" w:cs="仿宋_GB2312" w:eastAsia="仿宋_GB2312"/>
              </w:rPr>
              <w:t>3、投标人应保证招标项目中所使用素材的真实性与合法性，确保不会产生版权纠纷。</w:t>
            </w:r>
          </w:p>
          <w:p>
            <w:pPr>
              <w:pStyle w:val="null3"/>
            </w:pPr>
            <w:r>
              <w:rPr>
                <w:rFonts w:ascii="仿宋_GB2312" w:hAnsi="仿宋_GB2312" w:cs="仿宋_GB2312" w:eastAsia="仿宋_GB2312"/>
              </w:rPr>
              <w:t>4、设计文案创作、编撰完成后需形成书面文档及效果图，经采购人审核确认后方可进行制作。投标人应严格按照采购人确认后的文案进行设计制作，不得擅自进行增减或更改。</w:t>
            </w:r>
          </w:p>
          <w:p>
            <w:pPr>
              <w:pStyle w:val="null3"/>
            </w:pPr>
            <w:r>
              <w:rPr>
                <w:rFonts w:ascii="仿宋_GB2312" w:hAnsi="仿宋_GB2312" w:cs="仿宋_GB2312" w:eastAsia="仿宋_GB2312"/>
              </w:rPr>
              <w:t>5、审核期间，在不脱离审定文案的前提下，投标人应根据采购人要求，及时对海报设计细节和展现形式进行修改。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rPr>
              <w:t>三、成片交付</w:t>
            </w:r>
          </w:p>
          <w:p>
            <w:pPr>
              <w:pStyle w:val="null3"/>
            </w:pPr>
            <w:r>
              <w:rPr>
                <w:rFonts w:ascii="仿宋_GB2312" w:hAnsi="仿宋_GB2312" w:cs="仿宋_GB2312" w:eastAsia="仿宋_GB2312"/>
              </w:rPr>
              <w:t>投标人应在接到采购人制作要求后12小时内予以响应，并在3日内将成果提交采购人审核。投标人应在动态海报制作完成并通过采购人审核确认后48小时内采购人要求的形式和格式将所有版本的文件以及原始素材提供给采购人。所有海报版权归采购人所有，所有使用素材不得产生版权纠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自合同生效之日起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制作视频型海报235版，并经采购人审核确认后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服务期满，海报制作修改全部内容完成并验收合格后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为顺利推进政府采购电子化交易平台试点应用工作，供应商需要在线提交所有通过电子化交易平台实施的政府采购项目的响应文件，同时，线下提交响应文件正本壹份、副本贰份、电子版壹份(U 盘或光盘，标明供应商名称，随正本密封)。若电子响应文件与纸质响应文件不一致的，以电子响应文件为准。 线下递交文件截止时间：在开标时间截止之前；线下递交文件地点：陕西省西安市经济技术开发区凤城八路158号20幢1单元6楼609室。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提供投标截止日前6个月内已缴纳的至少一个月的纳税证明或完税证明（增值税或印花税等税种），依法免税的单位应提供相关证明材料；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 保障资金缴存单据或社保机构开具的社会保险参保缴费 情况证明，依法不需要缴纳社会保障资金的单位应提供 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非法定代表人参加投标，须提供法定代表人授权委托书及被授权人身份证原件；法定代表人参加投标时,须提供法人身份证明书及法定代表人身份证原件；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与营业执照等资质、公章名称一致</w:t>
            </w:r>
          </w:p>
        </w:tc>
        <w:tc>
          <w:tcPr>
            <w:tcW w:type="dxa" w:w="1661"/>
          </w:tcPr>
          <w:p>
            <w:pPr>
              <w:pStyle w:val="null3"/>
            </w:pPr>
            <w:r>
              <w:rPr>
                <w:rFonts w:ascii="仿宋_GB2312" w:hAnsi="仿宋_GB2312" w:cs="仿宋_GB2312" w:eastAsia="仿宋_GB2312"/>
              </w:rPr>
              <w:t>业绩.docx 磋商保证金.docx 服务内容及服务邀请应答表 供应商承诺.docx 中小企业声明函 项目团队.docx 商务应答表 响应性.docx 报价表 响应文件封面 现场演示.docx 供应商资格要求.docx 售后服务.docx 残疾人福利性单位声明函 制作理念.docx 标的清单 整体服务方案.docx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按照磋商文件要求签字盖章</w:t>
            </w:r>
          </w:p>
        </w:tc>
        <w:tc>
          <w:tcPr>
            <w:tcW w:type="dxa" w:w="1661"/>
          </w:tcPr>
          <w:p>
            <w:pPr>
              <w:pStyle w:val="null3"/>
            </w:pPr>
            <w:r>
              <w:rPr>
                <w:rFonts w:ascii="仿宋_GB2312" w:hAnsi="仿宋_GB2312" w:cs="仿宋_GB2312" w:eastAsia="仿宋_GB2312"/>
              </w:rPr>
              <w:t>业绩.docx 磋商保证金.docx 服务内容及服务邀请应答表 供应商承诺.docx 中小企业声明函 项目团队.docx 商务应答表 响应性.docx 报价表 响应文件封面 现场演示.docx 供应商资格要求.docx 售后服务.docx 残疾人福利性单位声明函 制作理念.docx 标的清单 整体服务方案.docx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按照磋商文件要求缴纳</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服务期限、响应有效期等符合采购文件要求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业绩.docx 磋商保证金.docx 服务内容及服务邀请应答表 供应商承诺.docx 中小企业声明函 项目团队.docx 商务应答表 响应性.docx 报价表 响应文件封面 现场演示.docx 供应商资格要求.docx 售后服务.docx 残疾人福利性单位声明函 制作理念.docx 标的清单 整体服务方案.docx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制订切实可行的整体服务方案，包括但不限于：①总体创意思路②策划编排，③素材收集④第三方可发布宣传平台⑤完整性：方案必须全面，对评审内容中的各项要求有详细描述⑥可实施性：切合本项目实际情况，提出步骤清晰、合理的方案⑦针对性：方案能够紧扣项目实际情况，内容科学合理。 整体服务方案完整，完全包含以上七项且满足实际工作需求，每一项内容描述详细内容全面得28分，每缺少一项扣4分，每有一项缺陷(缺陷是指不适用项目实际情况、凭空编造、存在逻辑洞、科学原理错误、不可能实现的夸大情形以及涉及的规范、标准与本项目要求不一致等)扣2分，扣完为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响应性</w:t>
            </w:r>
          </w:p>
        </w:tc>
        <w:tc>
          <w:tcPr>
            <w:tcW w:type="dxa" w:w="2492"/>
          </w:tcPr>
          <w:p>
            <w:pPr>
              <w:pStyle w:val="null3"/>
            </w:pPr>
            <w:r>
              <w:rPr>
                <w:rFonts w:ascii="仿宋_GB2312" w:hAnsi="仿宋_GB2312" w:cs="仿宋_GB2312" w:eastAsia="仿宋_GB2312"/>
              </w:rPr>
              <w:t>供应商针对招标文件技术要求进行逐条响应，响应方案应具备完整性、合法性和可操作性，否则视为未响应；包含多个子条目的，必须对所有子条目进行有效响应，否则视为未响应；不得对原文进行复制粘贴，否则视为未响应。共计10分，每有一条未响应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响应性.docx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1、拟投入本项目的项目负责人应具备过硬的专业素质和丰富的管理经验，提供专业职称证明或资格证书，提供一项得2分，最多4分； 2、项目执行团队人员包括但不限于：①配置合理、分工明确②主要成员应具备相关的专业资质证书及从业经验③执行团队或其成员提供过往所获奖项及获奖作品（至少包含：学历证明、专业资格证书、获奖证书）④完整性：方案必须全面，对评审内容中的各项要求有详细描述⑤可实施性：切合本项目实际情况，提出步骤清晰、合理的方案⑥针对性：方案能够紧扣项目实际情况，内容科学合理。 项目执行团队人员配置完整，完全包含以上六项且满足实际工作需求，每一项内容描述详细内容全面得12分，每缺少一项扣2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供应商提供必要的服务支持承诺，包含：1、技术支持，2、内容更新，每提供一项服务得2分，满分4分。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制作理念</w:t>
            </w:r>
          </w:p>
        </w:tc>
        <w:tc>
          <w:tcPr>
            <w:tcW w:type="dxa" w:w="2492"/>
          </w:tcPr>
          <w:p>
            <w:pPr>
              <w:pStyle w:val="null3"/>
            </w:pPr>
            <w:r>
              <w:rPr>
                <w:rFonts w:ascii="仿宋_GB2312" w:hAnsi="仿宋_GB2312" w:cs="仿宋_GB2312" w:eastAsia="仿宋_GB2312"/>
              </w:rPr>
              <w:t>提供针对本项目的制作理念，包括但不限于：①具有独特的创新点或额外价值的方案②体现环保理念或增强公益形象的措施③能充分体现福彩的宗旨和原则④完整性：方案必须全面，对评审内容中的各项要求有详细描述⑤可实施性：切合本项目实际情况，提出步骤清晰、合理的方案⑥针对性：方案能够紧扣项目实际情况，内容科学合理。 制作理念完整，完全包含以上六项且满足实际工作需求，每一项内容描述详细内容全面得12分，每缺少一项扣2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制作理念.docx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供应商须针对本次视频海报制作活动提供证明制作能力的视频演示或方案陈述，演示或陈述时间不超过10分钟 (包含：1、整体构思，2、效果展示）形式不限。 1、宣传内容具有创新性、有重点、有亮点得10分； 2、宣传内容创新性不强、重点不突出、亮点少得7分； 3、宣传内容无创新性、未体现重点、无亮点得3分； 4、未演示或内容与本项目无关不得分。 （陈述过程中如需进行ppt演示或视频展示，供应商应自行准备笔记本电脑、连接线、转接头等设备）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提供2022年1月至今（以合同签订日期为准）类似业绩合同，每份计2分，满分10分。（以响应文件中加盖供应商公章的合同复印件为准）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价格分统一采用低价优先法计算，即满足采购文件要求且最终报价最低的磋商报价为评标基准价，其价格分为满分。其他供应商的价格分统一按照下列公式计算： 价格分=(评标基准价／磋商报价)×报价分值 注：1、计算分数时四舍五入取小数点后两位； 2、落实政府采购政策：参见供应商须知前附表。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详见附件：响应性.docx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详见附件：制作理念.docx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详见附件：现场演示.docx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