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版本号：KY2025-1-52020250610001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“雪亮工程”视频对接项目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KY2025-1-520</w:t>
      </w:r>
      <w:r>
        <w:br/>
      </w:r>
      <w:r>
        <w:br/>
      </w:r>
      <w:r>
        <w:br/>
      </w:r>
    </w:p>
    <w:p>
      <w:pPr>
        <w:pStyle w:val="null3"/>
        <w:jc w:val="center"/>
        <w:outlineLvl w:val="2"/>
      </w:pPr>
      <w:r>
        <w:rPr>
          <w:rFonts w:ascii="仿宋_GB2312" w:hAnsi="仿宋_GB2312" w:cs="仿宋_GB2312" w:eastAsia="仿宋_GB2312"/>
          <w:sz w:val="28"/>
          <w:b/>
        </w:rPr>
        <w:t>省司法厅机关</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省司法厅机关</w:t>
      </w:r>
      <w:r>
        <w:rPr>
          <w:rFonts w:ascii="仿宋_GB2312" w:hAnsi="仿宋_GB2312" w:cs="仿宋_GB2312" w:eastAsia="仿宋_GB2312"/>
        </w:rPr>
        <w:t>委托，拟对</w:t>
      </w:r>
      <w:r>
        <w:rPr>
          <w:rFonts w:ascii="仿宋_GB2312" w:hAnsi="仿宋_GB2312" w:cs="仿宋_GB2312" w:eastAsia="仿宋_GB2312"/>
        </w:rPr>
        <w:t>“雪亮工程”视频对接项目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KY2025-1-520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“雪亮工程”视频对接项目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陕西省司法厅“雪亮工程”视频对接项目，1批，具体内容详见招标文件第3章。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省司法厅机关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029-87293217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银行账号：86113010750181502000045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代理服务费收费标准：1、交费金额参照国家计委颁布的《招标代理服务收费管理暂行办法》（计价格[2002]1980号）及发改办价格[2003]857号文件规定的招标代理服务收费标准计取。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省司法厅机关</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省司法厅机关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省司法厅机关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联系人：杭琨、牛佩文</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陕西省司法厅“雪亮工程”视频对接项目，1批，具体内容详见采购需求。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雪亮工程视频对接项目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标的名称：雪亮工程视频对接项目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建设背景</w:t>
            </w:r>
          </w:p>
          <w:p>
            <w:pPr>
              <w:pStyle w:val="null3"/>
              <w:ind w:firstLine="480"/>
              <w:jc w:val="both"/>
            </w:pPr>
            <w:r>
              <w:rPr>
                <w:rFonts w:ascii="仿宋_GB2312" w:hAnsi="仿宋_GB2312" w:cs="仿宋_GB2312" w:eastAsia="仿宋_GB2312"/>
                <w:sz w:val="24"/>
              </w:rPr>
              <w:t>根据司法部《关于印发2023年度平安中国建设（社区矫正工作）考评细则的通知》与《全国社区矫正质量提升两年行动方案》要求</w:t>
            </w:r>
            <w:r>
              <w:rPr>
                <w:rFonts w:ascii="仿宋_GB2312" w:hAnsi="仿宋_GB2312" w:cs="仿宋_GB2312" w:eastAsia="仿宋_GB2312"/>
                <w:sz w:val="24"/>
              </w:rPr>
              <w:t>，</w:t>
            </w:r>
            <w:r>
              <w:rPr>
                <w:rFonts w:ascii="仿宋_GB2312" w:hAnsi="仿宋_GB2312" w:cs="仿宋_GB2312" w:eastAsia="仿宋_GB2312"/>
                <w:sz w:val="24"/>
              </w:rPr>
              <w:t>加快推进全省社区矫正综合管理系统与公安“雪亮工程”对接，构建全省社区矫正指挥视频体系，实现矫正对象区域化视频监控全覆盖，持续提升在矫人员精准管控能力。</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需求分析</w:t>
            </w:r>
          </w:p>
          <w:p>
            <w:pPr>
              <w:pStyle w:val="null3"/>
              <w:ind w:firstLine="480"/>
              <w:jc w:val="both"/>
            </w:pPr>
            <w:r>
              <w:rPr>
                <w:rFonts w:ascii="仿宋_GB2312" w:hAnsi="仿宋_GB2312" w:cs="仿宋_GB2312" w:eastAsia="仿宋_GB2312"/>
                <w:sz w:val="24"/>
              </w:rPr>
              <w:t>依托“雪亮工程”社会治安公共监控系统，完善司法行政相关系统的应急指挥调度体系，满足对社区矫正人员视频监控调度，实现社区矫正工作与“雪亮工程”深度融合，深入推进“智慧矫正”建设，助力矫正对象有效管教。</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建设目标</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部署一套与陕西省“雪亮工程”视频平台对接的视频联网平台，提升社区矫正监管效率。</w:t>
            </w:r>
          </w:p>
          <w:p>
            <w:pPr>
              <w:pStyle w:val="null3"/>
              <w:ind w:firstLine="482"/>
              <w:jc w:val="both"/>
            </w:pPr>
            <w:r>
              <w:rPr>
                <w:rFonts w:ascii="仿宋_GB2312" w:hAnsi="仿宋_GB2312" w:cs="仿宋_GB2312" w:eastAsia="仿宋_GB2312"/>
                <w:sz w:val="24"/>
                <w:b/>
              </w:rPr>
              <w:t>二、项目总体设计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建设依据</w:t>
            </w:r>
          </w:p>
          <w:p>
            <w:pPr>
              <w:pStyle w:val="null3"/>
              <w:ind w:firstLine="480"/>
              <w:jc w:val="both"/>
            </w:pPr>
            <w:r>
              <w:rPr>
                <w:rFonts w:ascii="仿宋_GB2312" w:hAnsi="仿宋_GB2312" w:cs="仿宋_GB2312" w:eastAsia="仿宋_GB2312"/>
                <w:sz w:val="24"/>
              </w:rPr>
              <w:t>《“数字法治智慧司法”信息化体系建设指导意见》司发通〔2018〕100号</w:t>
            </w:r>
          </w:p>
          <w:p>
            <w:pPr>
              <w:pStyle w:val="null3"/>
              <w:ind w:firstLine="480"/>
              <w:jc w:val="both"/>
            </w:pPr>
            <w:r>
              <w:rPr>
                <w:rFonts w:ascii="仿宋_GB2312" w:hAnsi="仿宋_GB2312" w:cs="仿宋_GB2312" w:eastAsia="仿宋_GB2312"/>
                <w:sz w:val="24"/>
              </w:rPr>
              <w:t>《公共安全视频监控联网系统信息传输、交换、控制技术要求》GB/T 28181</w:t>
            </w:r>
          </w:p>
          <w:p>
            <w:pPr>
              <w:pStyle w:val="null3"/>
              <w:ind w:firstLine="480"/>
              <w:jc w:val="both"/>
            </w:pPr>
            <w:r>
              <w:rPr>
                <w:rFonts w:ascii="仿宋_GB2312" w:hAnsi="仿宋_GB2312" w:cs="仿宋_GB2312" w:eastAsia="仿宋_GB2312"/>
                <w:sz w:val="24"/>
              </w:rPr>
              <w:t>《安全防范监控数字视音频编解码数要求》GB/T 25724</w:t>
            </w:r>
          </w:p>
          <w:p>
            <w:pPr>
              <w:pStyle w:val="null3"/>
              <w:ind w:firstLine="480"/>
              <w:jc w:val="both"/>
            </w:pPr>
            <w:r>
              <w:rPr>
                <w:rFonts w:ascii="仿宋_GB2312" w:hAnsi="仿宋_GB2312" w:cs="仿宋_GB2312" w:eastAsia="仿宋_GB2312"/>
                <w:sz w:val="24"/>
              </w:rPr>
              <w:t>《全国司法行政信息化总体技术规范》SF/T 0008—2017</w:t>
            </w:r>
          </w:p>
          <w:p>
            <w:pPr>
              <w:pStyle w:val="null3"/>
              <w:ind w:firstLine="480"/>
              <w:jc w:val="both"/>
            </w:pPr>
            <w:r>
              <w:rPr>
                <w:rFonts w:ascii="仿宋_GB2312" w:hAnsi="仿宋_GB2312" w:cs="仿宋_GB2312" w:eastAsia="仿宋_GB2312"/>
                <w:sz w:val="24"/>
              </w:rPr>
              <w:t>《全国司法行政系统指挥中心建设技术规范》SF/T 0009—2017</w:t>
            </w:r>
          </w:p>
          <w:p>
            <w:pPr>
              <w:pStyle w:val="null3"/>
              <w:ind w:firstLine="480"/>
              <w:jc w:val="both"/>
            </w:pPr>
            <w:r>
              <w:rPr>
                <w:rFonts w:ascii="仿宋_GB2312" w:hAnsi="仿宋_GB2312" w:cs="仿宋_GB2312" w:eastAsia="仿宋_GB2312"/>
                <w:sz w:val="24"/>
              </w:rPr>
              <w:t>《全国司法行政系统网络平台技术规范》SF/T 0012—2017</w:t>
            </w:r>
          </w:p>
          <w:p>
            <w:pPr>
              <w:pStyle w:val="null3"/>
              <w:ind w:firstLine="480"/>
              <w:jc w:val="both"/>
            </w:pPr>
            <w:r>
              <w:rPr>
                <w:rFonts w:ascii="仿宋_GB2312" w:hAnsi="仿宋_GB2312" w:cs="仿宋_GB2312" w:eastAsia="仿宋_GB2312"/>
                <w:sz w:val="24"/>
              </w:rPr>
              <w:t>《司法行政视频监控联网编码规则及视频图像命名规范（试行）》</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建设要求</w:t>
            </w:r>
          </w:p>
          <w:p>
            <w:pPr>
              <w:pStyle w:val="null3"/>
              <w:ind w:firstLine="480"/>
              <w:jc w:val="both"/>
            </w:pPr>
            <w:r>
              <w:rPr>
                <w:rFonts w:ascii="仿宋_GB2312" w:hAnsi="仿宋_GB2312" w:cs="仿宋_GB2312" w:eastAsia="仿宋_GB2312"/>
                <w:sz w:val="24"/>
              </w:rPr>
              <w:t>系统建设应符合《全国司法行政信息化总体技术规范》（SF/T 0008—2017）、《全国司法行政系统指挥中心建设技术规范》（SF/T 0009-2017）及《公共安全视频监控联网系统信息传输、交换、控制技术要求》（GB/T 28181）的要求，充分考虑系统的安全性和可靠性，采用当今先进、成熟的技术和设备，建设音频、视频及数据全天候、全方位的实时交互体系。</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建设内容</w:t>
            </w:r>
          </w:p>
          <w:p>
            <w:pPr>
              <w:pStyle w:val="null3"/>
            </w:pPr>
            <w:r>
              <w:rPr>
                <w:rFonts w:ascii="仿宋_GB2312" w:hAnsi="仿宋_GB2312" w:cs="仿宋_GB2312" w:eastAsia="仿宋_GB2312"/>
                <w:sz w:val="24"/>
              </w:rPr>
              <w:t>在省司法厅部署一套标准化视频联网平台，与“雪亮工程”视频联网汇聚平台实现级联，从下级平台级联获取摄像机资源，通过级联取流的方式开展视频应用，具体如下：</w:t>
            </w:r>
          </w:p>
          <w:p>
            <w:pPr>
              <w:pStyle w:val="null3"/>
            </w:pPr>
            <w:r>
              <w:drawing>
                <wp:inline distT="0" distR="0" distB="0" distL="0">
                  <wp:extent cx="1621155" cy="1429456"/>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429456"/>
                          </a:xfrm>
                          <a:prstGeom prst="rect">
                            <a:avLst/>
                          </a:prstGeom>
                        </pic:spPr>
                      </pic:pic>
                    </a:graphicData>
                  </a:graphic>
                </wp:inline>
              </w:drawing>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4"/>
                <w:b/>
              </w:rPr>
              <w:t>三、技术参数</w:t>
            </w:r>
          </w:p>
          <w:tbl>
            <w:tblPr>
              <w:tblBorders>
                <w:top w:val="none" w:color="000000" w:sz="4"/>
                <w:left w:val="none" w:color="000000" w:sz="4"/>
                <w:bottom w:val="none" w:color="000000" w:sz="4"/>
                <w:right w:val="none" w:color="000000" w:sz="4"/>
                <w:insideH w:val="none"/>
                <w:insideV w:val="none"/>
              </w:tblBorders>
              <w:shd w:fill="E2EFD9"/>
            </w:tblPr>
            <w:tblGrid>
              <w:gridCol w:w="173"/>
              <w:gridCol w:w="297"/>
              <w:gridCol w:w="247"/>
              <w:gridCol w:w="1834"/>
            </w:tblGrid>
            <w:tr>
              <w:tc>
                <w:tcPr>
                  <w:tcW w:type="dxa" w:w="173"/>
                  <w:tcBorders>
                    <w:top w:val="single" w:color="000000" w:sz="4"/>
                    <w:left w:val="single" w:color="000000" w:sz="4"/>
                    <w:bottom w:val="single" w:color="000000" w:sz="4"/>
                    <w:right w:val="single" w:color="000000" w:sz="4"/>
                  </w:tcBorders>
                  <w:shd w:fill="E2EFD9"/>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297"/>
                  <w:tcBorders>
                    <w:top w:val="single" w:color="000000" w:sz="4"/>
                    <w:left w:val="none" w:color="000000" w:sz="4"/>
                    <w:bottom w:val="single" w:color="000000" w:sz="4"/>
                    <w:right w:val="single" w:color="000000" w:sz="4"/>
                  </w:tcBorders>
                  <w:shd w:fill="E2EFD9"/>
                  <w:tcMar>
                    <w:top w:type="dxa" w:w="0"/>
                    <w:left w:type="dxa" w:w="105"/>
                    <w:bottom w:type="dxa" w:w="0"/>
                    <w:right w:type="dxa" w:w="105"/>
                  </w:tcMar>
                </w:tcPr>
                <w:p>
                  <w:pPr>
                    <w:pStyle w:val="null3"/>
                    <w:jc w:val="center"/>
                  </w:pPr>
                  <w:r>
                    <w:rPr>
                      <w:rFonts w:ascii="仿宋_GB2312" w:hAnsi="仿宋_GB2312" w:cs="仿宋_GB2312" w:eastAsia="仿宋_GB2312"/>
                      <w:sz w:val="24"/>
                    </w:rPr>
                    <w:t>产品</w:t>
                  </w:r>
                </w:p>
                <w:p>
                  <w:pPr>
                    <w:pStyle w:val="null3"/>
                    <w:jc w:val="center"/>
                  </w:pPr>
                  <w:r>
                    <w:rPr>
                      <w:rFonts w:ascii="仿宋_GB2312" w:hAnsi="仿宋_GB2312" w:cs="仿宋_GB2312" w:eastAsia="仿宋_GB2312"/>
                      <w:sz w:val="24"/>
                    </w:rPr>
                    <w:t>名称</w:t>
                  </w:r>
                </w:p>
              </w:tc>
              <w:tc>
                <w:tcPr>
                  <w:tcW w:type="dxa" w:w="247"/>
                  <w:tcBorders>
                    <w:top w:val="single" w:color="000000" w:sz="4"/>
                    <w:left w:val="none" w:color="000000" w:sz="4"/>
                    <w:bottom w:val="single" w:color="000000" w:sz="4"/>
                    <w:right w:val="single" w:color="000000" w:sz="4"/>
                  </w:tcBorders>
                  <w:shd w:fill="E2EFD9"/>
                  <w:tcMar>
                    <w:top w:type="dxa" w:w="0"/>
                    <w:left w:type="dxa" w:w="105"/>
                    <w:bottom w:type="dxa" w:w="0"/>
                    <w:right w:type="dxa" w:w="105"/>
                  </w:tcMar>
                </w:tcPr>
                <w:p>
                  <w:pPr>
                    <w:pStyle w:val="null3"/>
                    <w:jc w:val="center"/>
                  </w:pPr>
                  <w:r>
                    <w:rPr>
                      <w:rFonts w:ascii="仿宋_GB2312" w:hAnsi="仿宋_GB2312" w:cs="仿宋_GB2312" w:eastAsia="仿宋_GB2312"/>
                      <w:sz w:val="24"/>
                    </w:rPr>
                    <w:t>功能</w:t>
                  </w:r>
                </w:p>
                <w:p>
                  <w:pPr>
                    <w:pStyle w:val="null3"/>
                    <w:jc w:val="center"/>
                  </w:pPr>
                  <w:r>
                    <w:rPr>
                      <w:rFonts w:ascii="仿宋_GB2312" w:hAnsi="仿宋_GB2312" w:cs="仿宋_GB2312" w:eastAsia="仿宋_GB2312"/>
                      <w:sz w:val="24"/>
                    </w:rPr>
                    <w:t>描述</w:t>
                  </w:r>
                </w:p>
              </w:tc>
              <w:tc>
                <w:tcPr>
                  <w:tcW w:type="dxa" w:w="1834"/>
                  <w:tcBorders>
                    <w:top w:val="single" w:color="000000" w:sz="4"/>
                    <w:left w:val="none" w:color="000000" w:sz="4"/>
                    <w:bottom w:val="single" w:color="000000" w:sz="4"/>
                    <w:right w:val="single" w:color="000000" w:sz="4"/>
                  </w:tcBorders>
                  <w:shd w:fill="E2EFD9"/>
                  <w:tcMar>
                    <w:top w:type="dxa" w:w="0"/>
                    <w:left w:type="dxa" w:w="105"/>
                    <w:bottom w:type="dxa" w:w="0"/>
                    <w:right w:type="dxa" w:w="105"/>
                  </w:tcMar>
                </w:tcPr>
                <w:p>
                  <w:pPr>
                    <w:pStyle w:val="null3"/>
                    <w:jc w:val="center"/>
                  </w:pPr>
                  <w:r>
                    <w:rPr>
                      <w:rFonts w:ascii="仿宋_GB2312" w:hAnsi="仿宋_GB2312" w:cs="仿宋_GB2312" w:eastAsia="仿宋_GB2312"/>
                      <w:sz w:val="24"/>
                    </w:rPr>
                    <w:t>技术参数</w:t>
                  </w:r>
                </w:p>
              </w:tc>
            </w:tr>
            <w:tr>
              <w:tc>
                <w:tcPr>
                  <w:tcW w:type="dxa" w:w="173"/>
                  <w:vMerge w:val="restart"/>
                  <w:tcBorders>
                    <w:top w:val="none" w:color="000000" w:sz="4"/>
                    <w:left w:val="single" w:color="000000" w:sz="4"/>
                    <w:bottom w:val="single" w:color="000000" w:sz="4"/>
                    <w:right w:val="single" w:color="000000" w:sz="4"/>
                  </w:tcBorders>
                  <w:shd w:fill="E2EFD9"/>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97"/>
                  <w:vMerge w:val="restart"/>
                  <w:tcBorders>
                    <w:top w:val="none" w:color="000000" w:sz="4"/>
                    <w:left w:val="none" w:color="000000" w:sz="4"/>
                    <w:bottom w:val="single" w:color="000000" w:sz="4"/>
                    <w:right w:val="single" w:color="000000" w:sz="4"/>
                  </w:tcBorders>
                  <w:shd w:fill="E2EFD9"/>
                  <w:tcMar>
                    <w:top w:type="dxa" w:w="0"/>
                    <w:left w:type="dxa" w:w="105"/>
                    <w:bottom w:type="dxa" w:w="0"/>
                    <w:right w:type="dxa" w:w="105"/>
                  </w:tcMar>
                </w:tcPr>
                <w:p>
                  <w:pPr>
                    <w:pStyle w:val="null3"/>
                    <w:jc w:val="center"/>
                  </w:pPr>
                  <w:r>
                    <w:rPr>
                      <w:rFonts w:ascii="仿宋_GB2312" w:hAnsi="仿宋_GB2312" w:cs="仿宋_GB2312" w:eastAsia="仿宋_GB2312"/>
                      <w:sz w:val="24"/>
                    </w:rPr>
                    <w:t>视频图像信息应用平台</w:t>
                  </w:r>
                  <w:r>
                    <w:rPr>
                      <w:rFonts w:ascii="仿宋_GB2312" w:hAnsi="仿宋_GB2312" w:cs="仿宋_GB2312" w:eastAsia="仿宋_GB2312"/>
                      <w:sz w:val="24"/>
                    </w:rPr>
                    <w:t>【核心产品】</w:t>
                  </w:r>
                </w:p>
              </w:tc>
              <w:tc>
                <w:tcPr>
                  <w:tcW w:type="dxa" w:w="247"/>
                  <w:tcBorders>
                    <w:top w:val="none" w:color="000000" w:sz="4"/>
                    <w:left w:val="none" w:color="000000" w:sz="4"/>
                    <w:bottom w:val="single" w:color="000000" w:sz="4"/>
                    <w:right w:val="single" w:color="000000" w:sz="4"/>
                  </w:tcBorders>
                  <w:shd w:fill="E2EFD9"/>
                  <w:tcMar>
                    <w:top w:type="dxa" w:w="0"/>
                    <w:left w:type="dxa" w:w="105"/>
                    <w:bottom w:type="dxa" w:w="0"/>
                    <w:right w:type="dxa" w:w="105"/>
                  </w:tcMar>
                </w:tcPr>
                <w:p>
                  <w:pPr>
                    <w:pStyle w:val="null3"/>
                    <w:jc w:val="center"/>
                  </w:pPr>
                  <w:r>
                    <w:rPr>
                      <w:rFonts w:ascii="仿宋_GB2312" w:hAnsi="仿宋_GB2312" w:cs="仿宋_GB2312" w:eastAsia="仿宋_GB2312"/>
                      <w:sz w:val="24"/>
                    </w:rPr>
                    <w:t>平台基础应用</w:t>
                  </w:r>
                </w:p>
              </w:tc>
              <w:tc>
                <w:tcPr>
                  <w:tcW w:type="dxa" w:w="1834"/>
                  <w:tcBorders>
                    <w:top w:val="none" w:color="000000" w:sz="4"/>
                    <w:left w:val="none" w:color="000000" w:sz="4"/>
                    <w:bottom w:val="single" w:color="000000" w:sz="4"/>
                    <w:right w:val="single" w:color="000000" w:sz="4"/>
                  </w:tcBorders>
                  <w:shd w:fill="E2EFD9"/>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提供系统业务应用依赖的基础资源，包括但不限于用户管理、权限管理、部门管理、门户管理，统一管理组织、权限、用户、物联设备等资源，并提供门户、录像计划等配置能力；</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需支持针对基础目录创建次级区域目录，支持不少于11级区域（包括根节点），同时需支持模板批量导入基础目录及基层单位，支持基础目录数据导出；</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需支持根据用户业务需求，在基础目录基础上创建更有业务针对性的业务目录，需支持自定义新建及修改业务目录的名称、关联资源类型及关联目录标识，并支持针对业务目录进行修改、编辑、排序等管理；</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支持根据名称、标签或IP模糊搜索资源；</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根据项目规模和应用场景，采用分布式、负载均衡等技术，支持多级架构进行系统平台自身规模的扩展，需支持流媒体集群等；</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支持软授权方式，可以部署在服务器或虚拟机上；</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系统需支持BS、CS客户端应用；</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系统需支持校时功能，需支持对设备和平台服务校时，保证时间一致；</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系统具有高兼容性，需支持ONVIF、国标协议设备接入；</w:t>
                  </w:r>
                </w:p>
              </w:tc>
            </w:tr>
            <w:tr>
              <w:tc>
                <w:tcPr>
                  <w:tcW w:type="dxa" w:w="173"/>
                  <w:vMerge/>
                  <w:tcBorders>
                    <w:top w:val="none" w:color="000000" w:sz="4"/>
                    <w:left w:val="single" w:color="000000" w:sz="4"/>
                    <w:bottom w:val="single" w:color="000000" w:sz="4"/>
                    <w:right w:val="single" w:color="000000" w:sz="4"/>
                  </w:tcBorders>
                </w:tcPr>
                <w:p/>
              </w:tc>
              <w:tc>
                <w:tcPr>
                  <w:tcW w:type="dxa" w:w="297"/>
                  <w:vMerge/>
                  <w:tcBorders>
                    <w:top w:val="none" w:color="000000" w:sz="4"/>
                    <w:left w:val="none" w:color="000000" w:sz="4"/>
                    <w:bottom w:val="single" w:color="000000" w:sz="4"/>
                    <w:right w:val="single" w:color="000000" w:sz="4"/>
                  </w:tcBorders>
                </w:tcPr>
                <w:p/>
              </w:tc>
              <w:tc>
                <w:tcPr>
                  <w:tcW w:type="dxa" w:w="247"/>
                  <w:tcBorders>
                    <w:top w:val="none" w:color="000000" w:sz="4"/>
                    <w:left w:val="none" w:color="000000" w:sz="4"/>
                    <w:bottom w:val="single" w:color="000000" w:sz="4"/>
                    <w:right w:val="single" w:color="000000" w:sz="4"/>
                  </w:tcBorders>
                  <w:shd w:fill="E2EFD9"/>
                  <w:tcMar>
                    <w:top w:type="dxa" w:w="0"/>
                    <w:left w:type="dxa" w:w="105"/>
                    <w:bottom w:type="dxa" w:w="0"/>
                    <w:right w:type="dxa" w:w="105"/>
                  </w:tcMar>
                </w:tcPr>
                <w:p>
                  <w:pPr>
                    <w:pStyle w:val="null3"/>
                    <w:jc w:val="center"/>
                  </w:pPr>
                  <w:r>
                    <w:rPr>
                      <w:rFonts w:ascii="仿宋_GB2312" w:hAnsi="仿宋_GB2312" w:cs="仿宋_GB2312" w:eastAsia="仿宋_GB2312"/>
                      <w:sz w:val="24"/>
                    </w:rPr>
                    <w:t>多角色首页工作台</w:t>
                  </w:r>
                </w:p>
              </w:tc>
              <w:tc>
                <w:tcPr>
                  <w:tcW w:type="dxa" w:w="1834"/>
                  <w:tcBorders>
                    <w:top w:val="none" w:color="000000" w:sz="4"/>
                    <w:left w:val="none" w:color="000000" w:sz="4"/>
                    <w:bottom w:val="single" w:color="000000" w:sz="4"/>
                    <w:right w:val="single" w:color="000000" w:sz="4"/>
                  </w:tcBorders>
                  <w:shd w:fill="E2EFD9"/>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提供快捷搜索、快速进入模块应用的工作台；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支持门户主题关联角色，使不同的用户登录有不同的门户首页；</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支持自定义选取包括但不限于常用应用、全部应用、内嵌网页、消息、待办、个人信息等20+部件，添加到首页，自定义摆放位置和大小，并支持首页名称、画布尺寸、主题背景、全景背景的设置，形成自定义首页。</w:t>
                  </w:r>
                </w:p>
              </w:tc>
            </w:tr>
            <w:tr>
              <w:tc>
                <w:tcPr>
                  <w:tcW w:type="dxa" w:w="173"/>
                  <w:vMerge/>
                  <w:tcBorders>
                    <w:top w:val="none" w:color="000000" w:sz="4"/>
                    <w:left w:val="single" w:color="000000" w:sz="4"/>
                    <w:bottom w:val="single" w:color="000000" w:sz="4"/>
                    <w:right w:val="single" w:color="000000" w:sz="4"/>
                  </w:tcBorders>
                </w:tcPr>
                <w:p/>
              </w:tc>
              <w:tc>
                <w:tcPr>
                  <w:tcW w:type="dxa" w:w="297"/>
                  <w:vMerge/>
                  <w:tcBorders>
                    <w:top w:val="none" w:color="000000" w:sz="4"/>
                    <w:left w:val="none" w:color="000000" w:sz="4"/>
                    <w:bottom w:val="single" w:color="000000" w:sz="4"/>
                    <w:right w:val="single" w:color="000000" w:sz="4"/>
                  </w:tcBorders>
                </w:tcPr>
                <w:p/>
              </w:tc>
              <w:tc>
                <w:tcPr>
                  <w:tcW w:type="dxa" w:w="247"/>
                  <w:tcBorders>
                    <w:top w:val="none" w:color="000000" w:sz="4"/>
                    <w:left w:val="none" w:color="000000" w:sz="4"/>
                    <w:bottom w:val="single" w:color="000000" w:sz="4"/>
                    <w:right w:val="single" w:color="000000" w:sz="4"/>
                  </w:tcBorders>
                  <w:shd w:fill="E2EFD9"/>
                  <w:tcMar>
                    <w:top w:type="dxa" w:w="0"/>
                    <w:left w:type="dxa" w:w="105"/>
                    <w:bottom w:type="dxa" w:w="0"/>
                    <w:right w:type="dxa" w:w="105"/>
                  </w:tcMar>
                </w:tcPr>
                <w:p>
                  <w:pPr>
                    <w:pStyle w:val="null3"/>
                    <w:jc w:val="center"/>
                  </w:pPr>
                  <w:r>
                    <w:rPr>
                      <w:rFonts w:ascii="仿宋_GB2312" w:hAnsi="仿宋_GB2312" w:cs="仿宋_GB2312" w:eastAsia="仿宋_GB2312"/>
                      <w:sz w:val="24"/>
                    </w:rPr>
                    <w:t>监控点接入通道数</w:t>
                  </w:r>
                </w:p>
              </w:tc>
              <w:tc>
                <w:tcPr>
                  <w:tcW w:type="dxa" w:w="1834"/>
                  <w:tcBorders>
                    <w:top w:val="none" w:color="000000" w:sz="4"/>
                    <w:left w:val="none" w:color="000000" w:sz="4"/>
                    <w:bottom w:val="single" w:color="000000" w:sz="4"/>
                    <w:right w:val="single" w:color="000000" w:sz="4"/>
                  </w:tcBorders>
                  <w:shd w:fill="E2EFD9"/>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本级监控点所接入的数量，包括视频能力、人脸能力、车辆能力等普通监控接入；≥50000路级联通道数，授权接入≥100路监控。</w:t>
                  </w:r>
                </w:p>
              </w:tc>
            </w:tr>
            <w:tr>
              <w:tc>
                <w:tcPr>
                  <w:tcW w:type="dxa" w:w="173"/>
                  <w:vMerge/>
                  <w:tcBorders>
                    <w:top w:val="none" w:color="000000" w:sz="4"/>
                    <w:left w:val="single" w:color="000000" w:sz="4"/>
                    <w:bottom w:val="single" w:color="000000" w:sz="4"/>
                    <w:right w:val="single" w:color="000000" w:sz="4"/>
                  </w:tcBorders>
                </w:tcPr>
                <w:p/>
              </w:tc>
              <w:tc>
                <w:tcPr>
                  <w:tcW w:type="dxa" w:w="297"/>
                  <w:vMerge/>
                  <w:tcBorders>
                    <w:top w:val="none" w:color="000000" w:sz="4"/>
                    <w:left w:val="none" w:color="000000" w:sz="4"/>
                    <w:bottom w:val="single" w:color="000000" w:sz="4"/>
                    <w:right w:val="single" w:color="000000" w:sz="4"/>
                  </w:tcBorders>
                </w:tcPr>
                <w:p/>
              </w:tc>
              <w:tc>
                <w:tcPr>
                  <w:tcW w:type="dxa" w:w="247"/>
                  <w:tcBorders>
                    <w:top w:val="none" w:color="000000" w:sz="4"/>
                    <w:left w:val="none" w:color="000000" w:sz="4"/>
                    <w:bottom w:val="single" w:color="000000" w:sz="4"/>
                    <w:right w:val="single" w:color="000000" w:sz="4"/>
                  </w:tcBorders>
                  <w:shd w:fill="E2EFD9"/>
                  <w:tcMar>
                    <w:top w:type="dxa" w:w="0"/>
                    <w:left w:type="dxa" w:w="105"/>
                    <w:bottom w:type="dxa" w:w="0"/>
                    <w:right w:type="dxa" w:w="105"/>
                  </w:tcMar>
                </w:tcPr>
                <w:p>
                  <w:pPr>
                    <w:pStyle w:val="null3"/>
                    <w:jc w:val="center"/>
                  </w:pPr>
                  <w:r>
                    <w:rPr>
                      <w:rFonts w:ascii="仿宋_GB2312" w:hAnsi="仿宋_GB2312" w:cs="仿宋_GB2312" w:eastAsia="仿宋_GB2312"/>
                      <w:sz w:val="24"/>
                    </w:rPr>
                    <w:t>视频级联管理</w:t>
                  </w:r>
                </w:p>
              </w:tc>
              <w:tc>
                <w:tcPr>
                  <w:tcW w:type="dxa" w:w="1834"/>
                  <w:tcBorders>
                    <w:top w:val="none" w:color="000000" w:sz="4"/>
                    <w:left w:val="none" w:color="000000" w:sz="4"/>
                    <w:bottom w:val="single" w:color="000000" w:sz="4"/>
                    <w:right w:val="single" w:color="000000" w:sz="4"/>
                  </w:tcBorders>
                  <w:shd w:fill="E2EFD9"/>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基于标准协议与外域平台互联互通，需支持视频通用标准协议（GB/T28181）及行业视频标准协议。主要业务功能包括但不限于域间注册与心跳、资源同步、实时预览、录像回放与控制、录像下载、设备控制等。</w:t>
                  </w:r>
                </w:p>
              </w:tc>
            </w:tr>
            <w:tr>
              <w:tc>
                <w:tcPr>
                  <w:tcW w:type="dxa" w:w="173"/>
                  <w:vMerge/>
                  <w:tcBorders>
                    <w:top w:val="none" w:color="000000" w:sz="4"/>
                    <w:left w:val="single" w:color="000000" w:sz="4"/>
                    <w:bottom w:val="single" w:color="000000" w:sz="4"/>
                    <w:right w:val="single" w:color="000000" w:sz="4"/>
                  </w:tcBorders>
                </w:tcPr>
                <w:p/>
              </w:tc>
              <w:tc>
                <w:tcPr>
                  <w:tcW w:type="dxa" w:w="297"/>
                  <w:vMerge/>
                  <w:tcBorders>
                    <w:top w:val="none" w:color="000000" w:sz="4"/>
                    <w:left w:val="none" w:color="000000" w:sz="4"/>
                    <w:bottom w:val="single" w:color="000000" w:sz="4"/>
                    <w:right w:val="single" w:color="000000" w:sz="4"/>
                  </w:tcBorders>
                </w:tcPr>
                <w:p/>
              </w:tc>
              <w:tc>
                <w:tcPr>
                  <w:tcW w:type="dxa" w:w="247"/>
                  <w:tcBorders>
                    <w:top w:val="none" w:color="000000" w:sz="4"/>
                    <w:left w:val="none" w:color="000000" w:sz="4"/>
                    <w:bottom w:val="single" w:color="000000" w:sz="4"/>
                    <w:right w:val="single" w:color="000000" w:sz="4"/>
                  </w:tcBorders>
                  <w:shd w:fill="E2EFD9"/>
                  <w:tcMar>
                    <w:top w:type="dxa" w:w="0"/>
                    <w:left w:type="dxa" w:w="105"/>
                    <w:bottom w:type="dxa" w:w="0"/>
                    <w:right w:type="dxa" w:w="105"/>
                  </w:tcMar>
                </w:tcPr>
                <w:p>
                  <w:pPr>
                    <w:pStyle w:val="null3"/>
                    <w:jc w:val="center"/>
                  </w:pPr>
                  <w:r>
                    <w:rPr>
                      <w:rFonts w:ascii="仿宋_GB2312" w:hAnsi="仿宋_GB2312" w:cs="仿宋_GB2312" w:eastAsia="仿宋_GB2312"/>
                      <w:sz w:val="24"/>
                    </w:rPr>
                    <w:t>视频</w:t>
                  </w:r>
                </w:p>
                <w:p>
                  <w:pPr>
                    <w:pStyle w:val="null3"/>
                    <w:jc w:val="center"/>
                  </w:pPr>
                  <w:r>
                    <w:rPr>
                      <w:rFonts w:ascii="仿宋_GB2312" w:hAnsi="仿宋_GB2312" w:cs="仿宋_GB2312" w:eastAsia="仿宋_GB2312"/>
                      <w:sz w:val="24"/>
                    </w:rPr>
                    <w:t>应用</w:t>
                  </w:r>
                </w:p>
              </w:tc>
              <w:tc>
                <w:tcPr>
                  <w:tcW w:type="dxa" w:w="1834"/>
                  <w:tcBorders>
                    <w:top w:val="none" w:color="000000" w:sz="4"/>
                    <w:left w:val="none" w:color="000000" w:sz="4"/>
                    <w:bottom w:val="single" w:color="000000" w:sz="4"/>
                    <w:right w:val="single" w:color="000000" w:sz="4"/>
                  </w:tcBorders>
                  <w:shd w:fill="E2EFD9"/>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在国产化软硬件条件下，支持视频实时预览能力，实现预览窗口布局切换、预览画面自适应及全屏切换；</w:t>
                  </w:r>
                  <w:r>
                    <w:rPr>
                      <w:rFonts w:ascii="仿宋_GB2312" w:hAnsi="仿宋_GB2312" w:cs="仿宋_GB2312" w:eastAsia="仿宋_GB2312"/>
                      <w:sz w:val="24"/>
                      <w:b/>
                    </w:rPr>
                    <w:t>【现场演示】</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需支持云台控制、实时抓图、紧急录像、即时回放、主子码流切换、声音开启/关闭、辅屏预览、报警输出控制等能力；</w:t>
                  </w:r>
                  <w:r>
                    <w:rPr>
                      <w:rFonts w:ascii="仿宋_GB2312" w:hAnsi="仿宋_GB2312" w:cs="仿宋_GB2312" w:eastAsia="仿宋_GB2312"/>
                      <w:sz w:val="24"/>
                      <w:b/>
                    </w:rPr>
                    <w:t>【现场演示】</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需支持智能规则展示的能力，如针对热成像设备温度信息实时展示等；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需支持预案管理能力，以预案形式管理监控点、视频预览轮巡等自定义资源组，其中预案类型包含公有预案和私有预案；</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需支持全景视频监控预览能力，支持高空全景一体化云台摄像机、全景摄像机的全景模式；</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需支持录像计划管理能力，支持实时录像计划、录像回传计划；</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需支持录像回放能力，支持多画面同步回放和异步回放切换、超高倍速回放、分段回放、录像下载、录像剪辑、录像标签、录像锁定、录像抓图；</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需支持电视墙场景管理能力，实现场景窗口配置、场景切换计划配置及轮巡计划的管理；</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需支持上墙控制能力，实现场景一键上墙、场景切换、电视墙切换、监控点上下墙、轮巡控制操作；</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需支持前端设备报警联动，可按计划模版进行报警联动设置；</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需支持预览/回放播放画面展示视频安全水印，支持配置展示用户名、IP和MAC，支持配置水印颜色、透明度等，支持水印内容自定义。</w:t>
                  </w:r>
                </w:p>
              </w:tc>
            </w:tr>
            <w:tr>
              <w:tc>
                <w:tcPr>
                  <w:tcW w:type="dxa" w:w="173"/>
                  <w:vMerge/>
                  <w:tcBorders>
                    <w:top w:val="none" w:color="000000" w:sz="4"/>
                    <w:left w:val="single" w:color="000000" w:sz="4"/>
                    <w:bottom w:val="single" w:color="000000" w:sz="4"/>
                    <w:right w:val="single" w:color="000000" w:sz="4"/>
                  </w:tcBorders>
                </w:tcPr>
                <w:p/>
              </w:tc>
              <w:tc>
                <w:tcPr>
                  <w:tcW w:type="dxa" w:w="297"/>
                  <w:vMerge/>
                  <w:tcBorders>
                    <w:top w:val="none" w:color="000000" w:sz="4"/>
                    <w:left w:val="none" w:color="000000" w:sz="4"/>
                    <w:bottom w:val="single" w:color="000000" w:sz="4"/>
                    <w:right w:val="single" w:color="000000" w:sz="4"/>
                  </w:tcBorders>
                </w:tcPr>
                <w:p/>
              </w:tc>
              <w:tc>
                <w:tcPr>
                  <w:tcW w:type="dxa" w:w="247"/>
                  <w:tcBorders>
                    <w:top w:val="none" w:color="000000" w:sz="4"/>
                    <w:left w:val="none" w:color="000000" w:sz="4"/>
                    <w:bottom w:val="single" w:color="000000" w:sz="4"/>
                    <w:right w:val="single" w:color="000000" w:sz="4"/>
                  </w:tcBorders>
                  <w:shd w:fill="E2EFD9"/>
                  <w:tcMar>
                    <w:top w:type="dxa" w:w="0"/>
                    <w:left w:type="dxa" w:w="105"/>
                    <w:bottom w:type="dxa" w:w="0"/>
                    <w:right w:type="dxa" w:w="105"/>
                  </w:tcMar>
                </w:tcPr>
                <w:p>
                  <w:pPr>
                    <w:pStyle w:val="null3"/>
                    <w:jc w:val="center"/>
                  </w:pPr>
                  <w:r>
                    <w:rPr>
                      <w:rFonts w:ascii="仿宋_GB2312" w:hAnsi="仿宋_GB2312" w:cs="仿宋_GB2312" w:eastAsia="仿宋_GB2312"/>
                      <w:sz w:val="24"/>
                    </w:rPr>
                    <w:t>电子</w:t>
                  </w:r>
                </w:p>
                <w:p>
                  <w:pPr>
                    <w:pStyle w:val="null3"/>
                    <w:jc w:val="center"/>
                  </w:pPr>
                  <w:r>
                    <w:rPr>
                      <w:rFonts w:ascii="仿宋_GB2312" w:hAnsi="仿宋_GB2312" w:cs="仿宋_GB2312" w:eastAsia="仿宋_GB2312"/>
                      <w:sz w:val="24"/>
                    </w:rPr>
                    <w:t>地图</w:t>
                  </w:r>
                </w:p>
              </w:tc>
              <w:tc>
                <w:tcPr>
                  <w:tcW w:type="dxa" w:w="1834"/>
                  <w:tcBorders>
                    <w:top w:val="none" w:color="000000" w:sz="4"/>
                    <w:left w:val="none" w:color="000000" w:sz="4"/>
                    <w:bottom w:val="single" w:color="000000" w:sz="4"/>
                    <w:right w:val="single" w:color="000000" w:sz="4"/>
                  </w:tcBorders>
                  <w:shd w:fill="E2EFD9"/>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需支持地图展示监控点等资源，支持查看视频预览、回放、报警信息，需支持接收报警事件信息，报警时在地图上闪烁提示；</w:t>
                  </w:r>
                  <w:r>
                    <w:rPr>
                      <w:rFonts w:ascii="仿宋_GB2312" w:hAnsi="仿宋_GB2312" w:cs="仿宋_GB2312" w:eastAsia="仿宋_GB2312"/>
                      <w:sz w:val="24"/>
                      <w:b/>
                    </w:rPr>
                    <w:t>【现场演示】</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支持在地图上框选摄像机打开视频；需支持双击视频点位打开视频；需支持查看视频名称、IP、所属组织、型号、设备状态等信息；支持查看视频预览、录像回放、查看当日报警信息、报警状态确认，支持快速调阅查看5分钟、10分钟、30分钟的录像回放；</w:t>
                  </w:r>
                  <w:r>
                    <w:rPr>
                      <w:rFonts w:ascii="仿宋_GB2312" w:hAnsi="仿宋_GB2312" w:cs="仿宋_GB2312" w:eastAsia="仿宋_GB2312"/>
                      <w:sz w:val="24"/>
                      <w:b/>
                    </w:rPr>
                    <w:t>【现场演示】</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需支持通过地图链接进行地图图层下钻；需支持对地图的添加、修改和删除操作；</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支持地图上的资源切换显示名称和隐藏名称；</w:t>
                  </w:r>
                </w:p>
              </w:tc>
            </w:tr>
            <w:tr>
              <w:tc>
                <w:tcPr>
                  <w:tcW w:type="dxa" w:w="173"/>
                  <w:tcBorders>
                    <w:top w:val="none" w:color="000000" w:sz="4"/>
                    <w:left w:val="single" w:color="000000" w:sz="4"/>
                    <w:bottom w:val="single" w:color="000000" w:sz="4"/>
                    <w:right w:val="single" w:color="000000" w:sz="4"/>
                  </w:tcBorders>
                  <w:shd w:fill="E2EFD9"/>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44"/>
                  <w:gridSpan w:val="2"/>
                  <w:tcBorders>
                    <w:top w:val="none" w:color="000000" w:sz="4"/>
                    <w:left w:val="none" w:color="000000" w:sz="4"/>
                    <w:bottom w:val="single" w:color="000000" w:sz="4"/>
                    <w:right w:val="single" w:color="000000" w:sz="4"/>
                  </w:tcBorders>
                  <w:shd w:fill="E2EFD9"/>
                  <w:tcMar>
                    <w:top w:type="dxa" w:w="0"/>
                    <w:left w:type="dxa" w:w="105"/>
                    <w:bottom w:type="dxa" w:w="0"/>
                    <w:right w:type="dxa" w:w="105"/>
                  </w:tcMar>
                </w:tcPr>
                <w:p>
                  <w:pPr>
                    <w:pStyle w:val="null3"/>
                    <w:jc w:val="center"/>
                  </w:pPr>
                  <w:r>
                    <w:rPr>
                      <w:rFonts w:ascii="仿宋_GB2312" w:hAnsi="仿宋_GB2312" w:cs="仿宋_GB2312" w:eastAsia="仿宋_GB2312"/>
                      <w:sz w:val="24"/>
                    </w:rPr>
                    <w:t>平台管理服务器</w:t>
                  </w:r>
                </w:p>
              </w:tc>
              <w:tc>
                <w:tcPr>
                  <w:tcW w:type="dxa" w:w="1834"/>
                  <w:tcBorders>
                    <w:top w:val="none" w:color="000000" w:sz="4"/>
                    <w:left w:val="none" w:color="000000" w:sz="4"/>
                    <w:bottom w:val="single" w:color="000000" w:sz="4"/>
                    <w:right w:val="single" w:color="000000" w:sz="4"/>
                  </w:tcBorders>
                  <w:shd w:fill="E2EFD9"/>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标准机架式服务器，≥2颗国产处理器（≥24核，2.2GHz）；≥256G内存，≥32根内存插槽；≥480G SSD×4；≥4T 7.2K SATA×3；SAS_HBA 阵列卡，支持RAID 0/1/10 ；≥2个千兆电口，2个万兆光口（含光模块）；≥800W（1+1）冗余电源。</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需内置云计算软件、分布式数据存储软件、可视化快速部署工具，包含授权，保证用户的数据安全；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需支持通过文件夹对虚拟机进行分组，不同类型的虚拟机实现逻辑分组管理，文件夹深度可达5层；支持对分组虚拟机批量进行关闭、启动、重启、删除、迁移操作；</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需支持创建虚拟机时，同时创建云硬盘，系统自动进行云硬盘的格式化和目录挂载操作，无需手动进入操作系统后台操作；</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需支持虚拟机和云硬盘的回收站功能，统一管理被删除的虚拟机和云硬盘，防止因误删除导致数据丢失。支持设置回收站文件保存周期，超期的文件将自动删除，支持批量销毁或还原虚拟机和云硬盘；</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需支持一套云平台同时管理不同芯片架构和类型的服务器资源、不同的操作系统，实现异构资源的统一管理和调度。通过云平台屏蔽底层架构差异，为用户提供统一的云计算服务；</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虚拟化系统内置备份模块，无需单独安装备份软件，在虚拟化管理平台界面即可实现虚拟机和云硬盘的备份功能。备份时对业务运行无影响，支持按时间（按天/周/月）设置自动化备份策略；</w:t>
                  </w:r>
                </w:p>
              </w:tc>
            </w:tr>
            <w:tr>
              <w:tc>
                <w:tcPr>
                  <w:tcW w:type="dxa" w:w="173"/>
                  <w:tcBorders>
                    <w:top w:val="none" w:color="000000" w:sz="4"/>
                    <w:left w:val="single" w:color="000000" w:sz="4"/>
                    <w:bottom w:val="single" w:color="000000" w:sz="4"/>
                    <w:right w:val="single" w:color="000000" w:sz="4"/>
                  </w:tcBorders>
                  <w:shd w:fill="E2EFD9"/>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544"/>
                  <w:gridSpan w:val="2"/>
                  <w:tcBorders>
                    <w:top w:val="none" w:color="000000" w:sz="4"/>
                    <w:left w:val="none" w:color="000000" w:sz="4"/>
                    <w:bottom w:val="single" w:color="000000" w:sz="4"/>
                    <w:right w:val="single" w:color="000000" w:sz="4"/>
                  </w:tcBorders>
                  <w:shd w:fill="E2EFD9"/>
                  <w:tcMar>
                    <w:top w:type="dxa" w:w="0"/>
                    <w:left w:type="dxa" w:w="105"/>
                    <w:bottom w:type="dxa" w:w="0"/>
                    <w:right w:type="dxa" w:w="105"/>
                  </w:tcMar>
                </w:tcPr>
                <w:p>
                  <w:pPr>
                    <w:pStyle w:val="null3"/>
                    <w:jc w:val="center"/>
                  </w:pPr>
                  <w:r>
                    <w:rPr>
                      <w:rFonts w:ascii="仿宋_GB2312" w:hAnsi="仿宋_GB2312" w:cs="仿宋_GB2312" w:eastAsia="仿宋_GB2312"/>
                      <w:sz w:val="24"/>
                    </w:rPr>
                    <w:t>数据库</w:t>
                  </w:r>
                </w:p>
              </w:tc>
              <w:tc>
                <w:tcPr>
                  <w:tcW w:type="dxa" w:w="1834"/>
                  <w:tcBorders>
                    <w:top w:val="none" w:color="000000" w:sz="4"/>
                    <w:left w:val="none" w:color="000000" w:sz="4"/>
                    <w:bottom w:val="single" w:color="000000" w:sz="4"/>
                    <w:right w:val="single" w:color="000000" w:sz="4"/>
                  </w:tcBorders>
                  <w:shd w:fill="E2EFD9"/>
                  <w:tcMar>
                    <w:top w:type="dxa" w:w="0"/>
                    <w:left w:type="dxa" w:w="105"/>
                    <w:bottom w:type="dxa" w:w="0"/>
                    <w:right w:type="dxa" w:w="105"/>
                  </w:tcMar>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套国产数据库软件，企业级大型通用融合数据库产品，适用于事务处理类应用、数据分析类应用、海量时序数据采集检索类应用、要求苛刻的互联网应用等场景。</w:t>
                  </w:r>
                </w:p>
              </w:tc>
            </w:tr>
            <w:tr>
              <w:tc>
                <w:tcPr>
                  <w:tcW w:type="dxa" w:w="173"/>
                  <w:tcBorders>
                    <w:top w:val="none" w:color="000000" w:sz="4"/>
                    <w:left w:val="single" w:color="000000" w:sz="4"/>
                    <w:bottom w:val="single" w:color="000000" w:sz="4"/>
                    <w:right w:val="single" w:color="000000" w:sz="4"/>
                  </w:tcBorders>
                  <w:shd w:fill="E2EFD9"/>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544"/>
                  <w:gridSpan w:val="2"/>
                  <w:tcBorders>
                    <w:top w:val="none" w:color="000000" w:sz="4"/>
                    <w:left w:val="none" w:color="000000" w:sz="4"/>
                    <w:bottom w:val="single" w:color="000000" w:sz="4"/>
                    <w:right w:val="single" w:color="000000" w:sz="4"/>
                  </w:tcBorders>
                  <w:shd w:fill="E2EFD9"/>
                  <w:tcMar>
                    <w:top w:type="dxa" w:w="0"/>
                    <w:left w:type="dxa" w:w="105"/>
                    <w:bottom w:type="dxa" w:w="0"/>
                    <w:right w:type="dxa" w:w="105"/>
                  </w:tcMar>
                </w:tcPr>
                <w:p>
                  <w:pPr>
                    <w:pStyle w:val="null3"/>
                    <w:jc w:val="center"/>
                  </w:pPr>
                  <w:r>
                    <w:rPr>
                      <w:rFonts w:ascii="仿宋_GB2312" w:hAnsi="仿宋_GB2312" w:cs="仿宋_GB2312" w:eastAsia="仿宋_GB2312"/>
                      <w:sz w:val="24"/>
                    </w:rPr>
                    <w:t>中间件</w:t>
                  </w:r>
                </w:p>
              </w:tc>
              <w:tc>
                <w:tcPr>
                  <w:tcW w:type="dxa" w:w="1834"/>
                  <w:tcBorders>
                    <w:top w:val="none" w:color="000000" w:sz="4"/>
                    <w:left w:val="none" w:color="000000" w:sz="4"/>
                    <w:bottom w:val="single" w:color="000000" w:sz="4"/>
                    <w:right w:val="single" w:color="000000" w:sz="4"/>
                  </w:tcBorders>
                  <w:shd w:fill="E2EFD9"/>
                  <w:tcMar>
                    <w:top w:type="dxa" w:w="0"/>
                    <w:left w:type="dxa" w:w="105"/>
                    <w:bottom w:type="dxa" w:w="0"/>
                    <w:right w:type="dxa" w:w="105"/>
                  </w:tcMar>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套国产中间件软件，符合Java EE、Jakarta EE标准规范、轻量易于使用、具有高可靠性和高安全性的应用产品。</w:t>
                  </w:r>
                </w:p>
              </w:tc>
            </w:tr>
            <w:tr>
              <w:tc>
                <w:tcPr>
                  <w:tcW w:type="dxa" w:w="173"/>
                  <w:tcBorders>
                    <w:top w:val="none" w:color="000000" w:sz="4"/>
                    <w:left w:val="single" w:color="000000" w:sz="4"/>
                    <w:bottom w:val="single" w:color="000000" w:sz="4"/>
                    <w:right w:val="single" w:color="000000" w:sz="4"/>
                  </w:tcBorders>
                  <w:shd w:fill="E2EFD9"/>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544"/>
                  <w:gridSpan w:val="2"/>
                  <w:tcBorders>
                    <w:top w:val="none" w:color="000000" w:sz="4"/>
                    <w:left w:val="none" w:color="000000" w:sz="4"/>
                    <w:bottom w:val="single" w:color="000000" w:sz="4"/>
                    <w:right w:val="single" w:color="000000" w:sz="4"/>
                  </w:tcBorders>
                  <w:shd w:fill="E2EFD9"/>
                  <w:tcMar>
                    <w:top w:type="dxa" w:w="0"/>
                    <w:left w:type="dxa" w:w="105"/>
                    <w:bottom w:type="dxa" w:w="0"/>
                    <w:right w:type="dxa" w:w="105"/>
                  </w:tcMar>
                </w:tcPr>
                <w:p>
                  <w:pPr>
                    <w:pStyle w:val="null3"/>
                    <w:jc w:val="center"/>
                  </w:pPr>
                  <w:r>
                    <w:rPr>
                      <w:rFonts w:ascii="仿宋_GB2312" w:hAnsi="仿宋_GB2312" w:cs="仿宋_GB2312" w:eastAsia="仿宋_GB2312"/>
                      <w:sz w:val="24"/>
                    </w:rPr>
                    <w:t>操作系统</w:t>
                  </w:r>
                </w:p>
              </w:tc>
              <w:tc>
                <w:tcPr>
                  <w:tcW w:type="dxa" w:w="1834"/>
                  <w:tcBorders>
                    <w:top w:val="none" w:color="000000" w:sz="4"/>
                    <w:left w:val="none" w:color="000000" w:sz="4"/>
                    <w:bottom w:val="single" w:color="000000" w:sz="4"/>
                    <w:right w:val="single" w:color="000000" w:sz="4"/>
                  </w:tcBorders>
                  <w:shd w:fill="E2EFD9"/>
                  <w:tcMar>
                    <w:top w:type="dxa" w:w="0"/>
                    <w:left w:type="dxa" w:w="105"/>
                    <w:bottom w:type="dxa" w:w="0"/>
                    <w:right w:type="dxa" w:w="105"/>
                  </w:tcMar>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套国产操作系统。支撑国产主流数据库、中间件、服务端组件、商业软件以及开源软件。</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项目完工期：合同签订后30个日历日。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陕西省司法厅指定地点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竣工验收后，乙方向甲方开具正规等额税务发票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1、招标文件、投标文件、澄清表（函）；2、合同及附件文本；3、国家相应的标准、规范。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运维期：三年。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1、投标人需要在线提交所有通过电子化交易平台实施的政府采购项目的投标文件，同时，线下提交纸质投标文件正本壹份、副本贰份、电子版壹份（U盘壹份）。 2、纸质投标文件正本、副本、电子版，标明投标人名称分开密封递交（投标文件采用双面打印）。 3、线下纸质文件递交截止时间：同在线递交电子投标文件截止时间一致；线下纸质文件递交地点：西安市雁展路1111号莱安中心T6-15层。如需邮寄投标文件，仅接受顺丰速运（联系人：杭琨、联系电话：029-81206622-825）。 4、现场演示地址：西安市雁展路1111号莱安中心T6-15层。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开标一览表（报价表）.docx 投标方案说明.docx 中小企业声明函 保证金交纳凭证保函.docx 技术指标偏差表.docx 商务条款响应说明.docx 分项报价表.docx 投标函 残疾人福利性单位声明函 标的清单 投标人资格证明文件.docx 投标文件封面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开标一览表（报价表）.docx 投标方案说明.docx 中小企业声明函 保证金交纳凭证保函.docx 技术指标偏差表.docx 商务条款响应说明.docx 分项报价表.docx 投标函 残疾人福利性单位声明函 标的清单 投标人资格证明文件.docx 投标文件封面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投标文件封面 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分项报价表.docx 开标一览表（报价表）.docx 投标函 投标方案说明.docx 中小企业声明函 标的清单 投标人资格证明文件.docx 投标人承诺书.docx 技术指标偏差表.docx 商务条款响应说明.docx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技术参数响应情况</w:t>
            </w:r>
          </w:p>
        </w:tc>
        <w:tc>
          <w:tcPr>
            <w:tcW w:type="dxa" w:w="2492"/>
          </w:tcPr>
          <w:p>
            <w:pPr>
              <w:pStyle w:val="null3"/>
            </w:pPr>
            <w:r>
              <w:rPr>
                <w:rFonts w:ascii="仿宋_GB2312" w:hAnsi="仿宋_GB2312" w:cs="仿宋_GB2312" w:eastAsia="仿宋_GB2312"/>
              </w:rPr>
              <w:t>根据投标人对所投产品技术参数的响应情况进行评审： 技术参数中现场演示项（4项）不计入评分；标“▲”项（5项）为重要技术参数，完全满足或优于招标文件要求，计7分，每负偏离一项扣1.4分；其他参数为一般参数（30项），完全满足或优于招标文件要求，计9分，每负偏离一项扣0.3分；本项满分16分。 注：应提供充足的佐证材料（包括但不限于检验报告、产品彩页、产品说明书、官网功能截图等），予以证明参数的技术响应性。</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投标文件内容完整，无缺漏项，附有系统设计及拓扑图。技术设计方案充分考虑采购单位实际情况和项目需求，方案详实，系统结构清晰，具有良好的兼容性与扩展性，架构配置合理，性能稳定可靠，便于维护使用。 1、方案合理、针对性强、系统架构清晰完整，计10分； 2、方案较合理、针对性较强、系统架构比较清晰完整，计8分； 3、方案基本合理、针对性一般、系统架构基本清晰，计6分； 4、方案具有合理性但针对性不强、系统架构不够清晰，计4分； 5、方案简单，合理性欠缺，无针对性，系统架构混乱，计2分。 6、未提供不计分。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对接方案</w:t>
            </w:r>
          </w:p>
        </w:tc>
        <w:tc>
          <w:tcPr>
            <w:tcW w:type="dxa" w:w="2492"/>
          </w:tcPr>
          <w:p>
            <w:pPr>
              <w:pStyle w:val="null3"/>
            </w:pPr>
            <w:r>
              <w:rPr>
                <w:rFonts w:ascii="仿宋_GB2312" w:hAnsi="仿宋_GB2312" w:cs="仿宋_GB2312" w:eastAsia="仿宋_GB2312"/>
              </w:rPr>
              <w:t>投标人提供所投视频汇聚平台与各平台的对接方案。 1、方案清晰完整、合理可行，计8分； 2、方案基本清晰完整、基本可行，计6分； 3、方案基本完整但针对性不强、可行性不高，计3分 4、方案内容简单，可行性不高，计1分； 5、未提供不计分。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投标人针对本项目有具体的供货组织安排，从仓储、运输、派送措施等方面，提供详细的实施方案和供货计划表，能确保按期完工。 1、供货组织安排内容全面、可行，表述清晰，计4分； 2、供货组织安排内容较全面、可行，表述较清晰，计3分； 3、供货组织安排内容不全，表述不够清晰，计1分； 4、未提供不计分。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产品货源渠道</w:t>
            </w:r>
          </w:p>
        </w:tc>
        <w:tc>
          <w:tcPr>
            <w:tcW w:type="dxa" w:w="2492"/>
          </w:tcPr>
          <w:p>
            <w:pPr>
              <w:pStyle w:val="null3"/>
            </w:pPr>
            <w:r>
              <w:rPr>
                <w:rFonts w:ascii="仿宋_GB2312" w:hAnsi="仿宋_GB2312" w:cs="仿宋_GB2312" w:eastAsia="仿宋_GB2312"/>
              </w:rPr>
              <w:t>产品进货渠道正规，确保生产供应的产品无假货、水货、翻新货且无产权纠纷，提供核心产品的合法来源渠道证明文件。 1、证明材料齐全，内容完整，计5分； 2、证明材料基本齐全，内容较完整，计3分； 3、证明材料不够齐全，内容简单，计1分；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产品功能演示</w:t>
            </w:r>
          </w:p>
        </w:tc>
        <w:tc>
          <w:tcPr>
            <w:tcW w:type="dxa" w:w="2492"/>
          </w:tcPr>
          <w:p>
            <w:pPr>
              <w:pStyle w:val="null3"/>
            </w:pPr>
            <w:r>
              <w:rPr>
                <w:rFonts w:ascii="仿宋_GB2312" w:hAnsi="仿宋_GB2312" w:cs="仿宋_GB2312" w:eastAsia="仿宋_GB2312"/>
              </w:rPr>
              <w:t>投标人对视频图像信息应用平台产品的以下功能进行演示： 演示项1（4分）：平台演示视频实时预览功能，实现预览窗口布局切换、预览画面自适应及全屏切换； 演示项2（4分）：平台演示视频设备控制，展示云台控制、实时抓图、紧急录像、即时回放、主子码流切换、声音开启/关闭、画面旋转辅屏预览、报警输出控制的能力； 演示项3（4分）：演示地图应用功能，在地图上展示监控点等资源，查看视频预览、回放、报警信息；当接收报警事件信息，报警时在地图上闪烁提示； 演示项4（4分）：演示地图应用功能，展示在地图上框通过选摄像机打开视频；展示双击视频点位打开视频；查看视频名称、IP、所属组织、型号、设备状态等信息； 评审标准： 1、每项演示功能完全满足采购需求计4分； 2、每项功能演示有1项缺陷，但基本满足采购需求计3分； 3、每项功能演示有2项缺陷，计2分； 4、每项功能演示有3项及以上缺陷，计1分； 5、每项功能演示与要求不符或未演示的不计分。 备注： 1、缺陷是指演示功能不完整、系统逻辑及先进性不强、操作界面复杂、适配性不高、业务需求符合度欠缺等任意一种情形。 2、投标人演示功能需现场部署设备搭建真实系统环境演示，不得以PPT、视频、demo、远程等形式替代。 3、投标人自行提供演示所需设备（转换接口自备）及网络环境，演示时长不超过15分钟（不含提问及解答时间）。</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1、投标人具有本地化售后服务能力（需提供相关证明材料），具有良好的本地化服务体系及保障能力，在当地能够提供长期的技术支持能力，计2分； 2、对备品配件、设备发生故障后的补救措施，维修服务响应时限等售后服务，有明确的承诺且具体、切实可行，计2分，内容不完整计1分，未提供不计分。 3、投标人拟派专人驻场三年，计2分。 4、投标人提供突发应急预案，设计合理，具有真实高效的可行性，计2分，可行性一般计1分，未提供不计分。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投标人提供2022年5月1日至今（以合同签订日期为准）类似项目业绩合同，每提供一份计1分，满分2分。 （注：需提供项目合同或协议的关键页（包括但不限于合同首尾页、项目内容页，签字盖章页，签订日期页）扫描件，加盖公章，否则不计分。）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为保证项目产品、技术具备较高的先进性，投标人所投核心产品制造商应具备较强的新技术研发实力，可提供高水平技术支撑，提供相应支撑材料，计1分，未提供不计分。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