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版本号：DQA-2025055-ZB20250626003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矢量网络分析仪设备采购项目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DQA-2025055-ZB</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矢量网络分析仪设备采购项目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DQA-2025055-ZB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矢量网络分析仪设备采购项目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本项目拟采购矢量网络分析仪设备1套，详见项目采购需求。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银行账号：52880188000127403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前5个工作日内，向采购人缴纳合同总价5%的履约保证金；2.中标（成交）供应商如期履约完成且不存在其他任何违约责任，采购人无息由原缴费账户退还履约保证金全款。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代理服务费收费标准：中标供应商在领取中标通知书前，须向采购代理机构一次性支付采购代理服务费，采购代理服务费按照中标金额的0.6%计取。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本项目拟采购矢量网络分析仪设备1套。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矢量网络分析仪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标的名称：矢量网络分析仪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主要功能：</w:t>
            </w:r>
          </w:p>
          <w:p>
            <w:pPr>
              <w:pStyle w:val="null3"/>
              <w:jc w:val="both"/>
            </w:pPr>
            <w:r>
              <w:rPr>
                <w:rFonts w:ascii="仿宋_GB2312" w:hAnsi="仿宋_GB2312" w:cs="仿宋_GB2312" w:eastAsia="仿宋_GB2312"/>
                <w:sz w:val="21"/>
              </w:rPr>
              <w:t>矢量网络分析仪（</w:t>
            </w:r>
            <w:r>
              <w:rPr>
                <w:rFonts w:ascii="仿宋_GB2312" w:hAnsi="仿宋_GB2312" w:cs="仿宋_GB2312" w:eastAsia="仿宋_GB2312"/>
                <w:sz w:val="21"/>
              </w:rPr>
              <w:t>VNA</w:t>
            </w:r>
            <w:r>
              <w:rPr>
                <w:rFonts w:ascii="仿宋_GB2312" w:hAnsi="仿宋_GB2312" w:cs="仿宋_GB2312" w:eastAsia="仿宋_GB2312"/>
                <w:sz w:val="21"/>
              </w:rPr>
              <w:t>）可执行元器件表征测试。可获得传输（传输系数、插入损耗、增益）、反射（反射系数、</w:t>
            </w:r>
            <w:r>
              <w:rPr>
                <w:rFonts w:ascii="仿宋_GB2312" w:hAnsi="仿宋_GB2312" w:cs="仿宋_GB2312" w:eastAsia="仿宋_GB2312"/>
                <w:sz w:val="21"/>
              </w:rPr>
              <w:t>VSWR</w:t>
            </w:r>
            <w:r>
              <w:rPr>
                <w:rFonts w:ascii="仿宋_GB2312" w:hAnsi="仿宋_GB2312" w:cs="仿宋_GB2312" w:eastAsia="仿宋_GB2312"/>
                <w:sz w:val="21"/>
              </w:rPr>
              <w:t xml:space="preserve">、回波损耗）和阻抗测量结果，以及 </w:t>
            </w:r>
            <w:r>
              <w:rPr>
                <w:rFonts w:ascii="仿宋_GB2312" w:hAnsi="仿宋_GB2312" w:cs="仿宋_GB2312" w:eastAsia="仿宋_GB2312"/>
                <w:sz w:val="21"/>
              </w:rPr>
              <w:t xml:space="preserve">s </w:t>
            </w:r>
            <w:r>
              <w:rPr>
                <w:rFonts w:ascii="仿宋_GB2312" w:hAnsi="仿宋_GB2312" w:cs="仿宋_GB2312" w:eastAsia="仿宋_GB2312"/>
                <w:sz w:val="21"/>
              </w:rPr>
              <w:t xml:space="preserve">参数 </w:t>
            </w:r>
            <w:r>
              <w:rPr>
                <w:rFonts w:ascii="仿宋_GB2312" w:hAnsi="仿宋_GB2312" w:cs="仿宋_GB2312" w:eastAsia="仿宋_GB2312"/>
                <w:sz w:val="21"/>
              </w:rPr>
              <w:t>S11</w:t>
            </w:r>
            <w:r>
              <w:rPr>
                <w:rFonts w:ascii="仿宋_GB2312" w:hAnsi="仿宋_GB2312" w:cs="仿宋_GB2312" w:eastAsia="仿宋_GB2312"/>
                <w:sz w:val="21"/>
              </w:rPr>
              <w:t>、</w:t>
            </w:r>
            <w:r>
              <w:rPr>
                <w:rFonts w:ascii="仿宋_GB2312" w:hAnsi="仿宋_GB2312" w:cs="仿宋_GB2312" w:eastAsia="仿宋_GB2312"/>
                <w:sz w:val="21"/>
              </w:rPr>
              <w:t>S12</w:t>
            </w:r>
            <w:r>
              <w:rPr>
                <w:rFonts w:ascii="仿宋_GB2312" w:hAnsi="仿宋_GB2312" w:cs="仿宋_GB2312" w:eastAsia="仿宋_GB2312"/>
                <w:sz w:val="21"/>
              </w:rPr>
              <w:t>、</w:t>
            </w:r>
            <w:r>
              <w:rPr>
                <w:rFonts w:ascii="仿宋_GB2312" w:hAnsi="仿宋_GB2312" w:cs="仿宋_GB2312" w:eastAsia="仿宋_GB2312"/>
                <w:sz w:val="21"/>
              </w:rPr>
              <w:t>S21</w:t>
            </w:r>
            <w:r>
              <w:rPr>
                <w:rFonts w:ascii="仿宋_GB2312" w:hAnsi="仿宋_GB2312" w:cs="仿宋_GB2312" w:eastAsia="仿宋_GB2312"/>
                <w:sz w:val="21"/>
              </w:rPr>
              <w:t>、</w:t>
            </w:r>
            <w:r>
              <w:rPr>
                <w:rFonts w:ascii="仿宋_GB2312" w:hAnsi="仿宋_GB2312" w:cs="仿宋_GB2312" w:eastAsia="仿宋_GB2312"/>
                <w:sz w:val="21"/>
              </w:rPr>
              <w:t>S22</w:t>
            </w:r>
            <w:r>
              <w:rPr>
                <w:rFonts w:ascii="仿宋_GB2312" w:hAnsi="仿宋_GB2312" w:cs="仿宋_GB2312" w:eastAsia="仿宋_GB2312"/>
                <w:sz w:val="21"/>
              </w:rPr>
              <w:t>。同时具备频谱分析，相位噪声测试等拓展能力。</w:t>
            </w:r>
          </w:p>
          <w:p>
            <w:pPr>
              <w:pStyle w:val="null3"/>
              <w:jc w:val="both"/>
            </w:pPr>
            <w:r>
              <w:rPr>
                <w:rFonts w:ascii="仿宋_GB2312" w:hAnsi="仿宋_GB2312" w:cs="仿宋_GB2312" w:eastAsia="仿宋_GB2312"/>
                <w:sz w:val="21"/>
              </w:rPr>
              <w:t>主要技术指标：</w:t>
            </w:r>
          </w:p>
          <w:p>
            <w:pPr>
              <w:pStyle w:val="null3"/>
              <w:jc w:val="both"/>
            </w:pPr>
            <w:r>
              <w:rPr>
                <w:rFonts w:ascii="仿宋_GB2312" w:hAnsi="仿宋_GB2312" w:cs="仿宋_GB2312" w:eastAsia="仿宋_GB2312"/>
                <w:sz w:val="21"/>
              </w:rPr>
              <w:t>矢量网络分析要求：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具备矢量网络分析功能，频率范围</w:t>
            </w:r>
            <w:r>
              <w:rPr>
                <w:rFonts w:ascii="仿宋_GB2312" w:hAnsi="仿宋_GB2312" w:cs="仿宋_GB2312" w:eastAsia="仿宋_GB2312"/>
                <w:sz w:val="21"/>
              </w:rPr>
              <w:t>10MHz~8.5GHz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端口数：</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频率分辨率：</w:t>
            </w:r>
            <w:r>
              <w:rPr>
                <w:rFonts w:ascii="仿宋_GB2312" w:hAnsi="仿宋_GB2312" w:cs="仿宋_GB2312" w:eastAsia="仿宋_GB2312"/>
                <w:sz w:val="21"/>
              </w:rPr>
              <w:t>≤</w:t>
            </w:r>
            <w:r>
              <w:rPr>
                <w:rFonts w:ascii="仿宋_GB2312" w:hAnsi="仿宋_GB2312" w:cs="仿宋_GB2312" w:eastAsia="仿宋_GB2312"/>
                <w:sz w:val="21"/>
              </w:rPr>
              <w:t>1Hz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中频带宽：</w:t>
            </w:r>
            <w:r>
              <w:rPr>
                <w:rFonts w:ascii="仿宋_GB2312" w:hAnsi="仿宋_GB2312" w:cs="仿宋_GB2312" w:eastAsia="仿宋_GB2312"/>
                <w:sz w:val="21"/>
              </w:rPr>
              <w:t>1Hz~1MHz</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动态范围：</w:t>
            </w:r>
            <w:r>
              <w:rPr>
                <w:rFonts w:ascii="仿宋_GB2312" w:hAnsi="仿宋_GB2312" w:cs="仿宋_GB2312" w:eastAsia="仿宋_GB2312"/>
                <w:sz w:val="21"/>
              </w:rPr>
              <w:t>≥</w:t>
            </w:r>
            <w:r>
              <w:rPr>
                <w:rFonts w:ascii="仿宋_GB2312" w:hAnsi="仿宋_GB2312" w:cs="仿宋_GB2312" w:eastAsia="仿宋_GB2312"/>
                <w:sz w:val="21"/>
              </w:rPr>
              <w:t>120dB</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扫描点数：</w:t>
            </w:r>
            <w:r>
              <w:rPr>
                <w:rFonts w:ascii="仿宋_GB2312" w:hAnsi="仿宋_GB2312" w:cs="仿宋_GB2312" w:eastAsia="仿宋_GB2312"/>
                <w:sz w:val="21"/>
              </w:rPr>
              <w:t>≥</w:t>
            </w:r>
            <w:r>
              <w:rPr>
                <w:rFonts w:ascii="仿宋_GB2312" w:hAnsi="仿宋_GB2312" w:cs="仿宋_GB2312" w:eastAsia="仿宋_GB2312"/>
                <w:sz w:val="21"/>
              </w:rPr>
              <w:t>10001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迹线噪声：</w:t>
            </w:r>
            <w:r>
              <w:rPr>
                <w:rFonts w:ascii="仿宋_GB2312" w:hAnsi="仿宋_GB2312" w:cs="仿宋_GB2312" w:eastAsia="仿宋_GB2312"/>
                <w:sz w:val="21"/>
              </w:rPr>
              <w:t>≤</w:t>
            </w:r>
            <w:r>
              <w:rPr>
                <w:rFonts w:ascii="仿宋_GB2312" w:hAnsi="仿宋_GB2312" w:cs="仿宋_GB2312" w:eastAsia="仿宋_GB2312"/>
                <w:sz w:val="21"/>
              </w:rPr>
              <w:t>3mdB rms</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输出功率：</w:t>
            </w:r>
            <w:r>
              <w:rPr>
                <w:rFonts w:ascii="仿宋_GB2312" w:hAnsi="仿宋_GB2312" w:cs="仿宋_GB2312" w:eastAsia="仿宋_GB2312"/>
                <w:sz w:val="21"/>
              </w:rPr>
              <w:t>-50dBm~7dBm</w:t>
            </w:r>
          </w:p>
          <w:p>
            <w:pPr>
              <w:pStyle w:val="null3"/>
              <w:jc w:val="both"/>
            </w:pPr>
            <w:r>
              <w:rPr>
                <w:rFonts w:ascii="仿宋_GB2312" w:hAnsi="仿宋_GB2312" w:cs="仿宋_GB2312" w:eastAsia="仿宋_GB2312"/>
                <w:sz w:val="21"/>
              </w:rPr>
              <w:t>频谱分析要求：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具备频谱分析功能，频率范围</w:t>
            </w:r>
            <w:r>
              <w:rPr>
                <w:rFonts w:ascii="仿宋_GB2312" w:hAnsi="仿宋_GB2312" w:cs="仿宋_GB2312" w:eastAsia="仿宋_GB2312"/>
                <w:sz w:val="21"/>
              </w:rPr>
              <w:t>10MHz~20GHz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具备相位噪声测试功能，</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25</w:t>
            </w:r>
            <w:r>
              <w:rPr>
                <w:rFonts w:ascii="仿宋_GB2312" w:hAnsi="仿宋_GB2312" w:cs="仿宋_GB2312" w:eastAsia="仿宋_GB2312"/>
                <w:sz w:val="21"/>
              </w:rPr>
              <w:t>dBc/Hz</w:t>
            </w:r>
            <w:r>
              <w:rPr>
                <w:rFonts w:ascii="仿宋_GB2312" w:hAnsi="仿宋_GB2312" w:cs="仿宋_GB2312" w:eastAsia="仿宋_GB2312"/>
                <w:sz w:val="21"/>
              </w:rPr>
              <w:t>（</w:t>
            </w:r>
            <w:r>
              <w:rPr>
                <w:rFonts w:ascii="仿宋_GB2312" w:hAnsi="仿宋_GB2312" w:cs="仿宋_GB2312" w:eastAsia="仿宋_GB2312"/>
                <w:sz w:val="21"/>
              </w:rPr>
              <w:t>1GHz</w:t>
            </w:r>
            <w:r>
              <w:rPr>
                <w:rFonts w:ascii="仿宋_GB2312" w:hAnsi="仿宋_GB2312" w:cs="仿宋_GB2312" w:eastAsia="仿宋_GB2312"/>
                <w:sz w:val="21"/>
              </w:rPr>
              <w:t>，</w:t>
            </w:r>
            <w:r>
              <w:rPr>
                <w:rFonts w:ascii="仿宋_GB2312" w:hAnsi="仿宋_GB2312" w:cs="仿宋_GB2312" w:eastAsia="仿宋_GB2312"/>
                <w:sz w:val="21"/>
              </w:rPr>
              <w:t>offset=10kHz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5G NR</w:t>
            </w:r>
            <w:r>
              <w:rPr>
                <w:rFonts w:ascii="仿宋_GB2312" w:hAnsi="仿宋_GB2312" w:cs="仿宋_GB2312" w:eastAsia="仿宋_GB2312"/>
                <w:sz w:val="21"/>
              </w:rPr>
              <w:t>分析、</w:t>
            </w:r>
            <w:r>
              <w:rPr>
                <w:rFonts w:ascii="仿宋_GB2312" w:hAnsi="仿宋_GB2312" w:cs="仿宋_GB2312" w:eastAsia="仿宋_GB2312"/>
                <w:sz w:val="21"/>
              </w:rPr>
              <w:t>EVM</w:t>
            </w:r>
            <w:r>
              <w:rPr>
                <w:rFonts w:ascii="仿宋_GB2312" w:hAnsi="仿宋_GB2312" w:cs="仿宋_GB2312" w:eastAsia="仿宋_GB2312"/>
                <w:sz w:val="21"/>
              </w:rPr>
              <w:t>、</w:t>
            </w:r>
            <w:r>
              <w:rPr>
                <w:rFonts w:ascii="仿宋_GB2312" w:hAnsi="仿宋_GB2312" w:cs="仿宋_GB2312" w:eastAsia="仿宋_GB2312"/>
                <w:sz w:val="21"/>
              </w:rPr>
              <w:t>ACPR</w:t>
            </w:r>
            <w:r>
              <w:rPr>
                <w:rFonts w:ascii="仿宋_GB2312" w:hAnsi="仿宋_GB2312" w:cs="仿宋_GB2312" w:eastAsia="仿宋_GB2312"/>
                <w:sz w:val="21"/>
              </w:rPr>
              <w:t>等测试功</w:t>
            </w:r>
            <w:r>
              <w:rPr>
                <w:rFonts w:ascii="仿宋_GB2312" w:hAnsi="仿宋_GB2312" w:cs="仿宋_GB2312" w:eastAsia="仿宋_GB2312"/>
                <w:sz w:val="21"/>
              </w:rPr>
              <w:t>能（支持 3GPP TS 38.101/38.141 等标准），5G NR 信号的分析带宽要求≥ 160MHz</w:t>
            </w:r>
          </w:p>
          <w:p>
            <w:pPr>
              <w:pStyle w:val="null3"/>
              <w:jc w:val="both"/>
            </w:pPr>
            <w:r>
              <w:rPr>
                <w:rFonts w:ascii="仿宋_GB2312" w:hAnsi="仿宋_GB2312" w:cs="仿宋_GB2312" w:eastAsia="仿宋_GB2312"/>
                <w:sz w:val="21"/>
              </w:rPr>
              <w:t>通用要求：</w:t>
            </w:r>
          </w:p>
          <w:p>
            <w:pPr>
              <w:pStyle w:val="null3"/>
            </w:pPr>
            <w:r>
              <w:rPr>
                <w:rFonts w:ascii="仿宋_GB2312" w:hAnsi="仿宋_GB2312" w:cs="仿宋_GB2312" w:eastAsia="仿宋_GB2312"/>
                <w:sz w:val="21"/>
              </w:rPr>
              <w:t>1)允许供应商提供1台台式矢量网络分析仪并通过外接模块实现招标文</w:t>
            </w:r>
            <w:r>
              <w:rPr>
                <w:rFonts w:ascii="仿宋_GB2312" w:hAnsi="仿宋_GB2312" w:cs="仿宋_GB2312" w:eastAsia="仿宋_GB2312"/>
                <w:sz w:val="21"/>
              </w:rPr>
              <w:t>件提出的全部功能及技术要求，外接模块必须由台式仪表直接操作运行并完成测试，以确保功能整合性。</w:t>
            </w:r>
          </w:p>
          <w:p>
            <w:pPr>
              <w:pStyle w:val="null3"/>
            </w:pPr>
            <w:r>
              <w:rPr>
                <w:rFonts w:ascii="仿宋_GB2312" w:hAnsi="仿宋_GB2312" w:cs="仿宋_GB2312" w:eastAsia="仿宋_GB2312"/>
                <w:sz w:val="21"/>
              </w:rPr>
              <w:t>2) 设备形态：台式仪器，具备按键与显示屏</w:t>
            </w:r>
          </w:p>
          <w:p>
            <w:pPr>
              <w:pStyle w:val="null3"/>
            </w:pPr>
            <w:r>
              <w:rPr>
                <w:rFonts w:ascii="仿宋_GB2312" w:hAnsi="仿宋_GB2312" w:cs="仿宋_GB2312" w:eastAsia="仿宋_GB2312"/>
                <w:sz w:val="21"/>
              </w:rPr>
              <w:t>3 支持使用网口SCPI指令控制</w:t>
            </w:r>
          </w:p>
          <w:p>
            <w:pPr>
              <w:pStyle w:val="null3"/>
            </w:pPr>
            <w:r>
              <w:rPr>
                <w:rFonts w:ascii="仿宋_GB2312" w:hAnsi="仿宋_GB2312" w:cs="仿宋_GB2312" w:eastAsia="仿宋_GB2312"/>
                <w:sz w:val="21"/>
              </w:rPr>
              <w:t>4) 配套1套机械校准件（N型母头）</w:t>
            </w:r>
          </w:p>
          <w:p>
            <w:pPr>
              <w:pStyle w:val="null3"/>
            </w:pPr>
            <w:r>
              <w:rPr>
                <w:rFonts w:ascii="仿宋_GB2312" w:hAnsi="仿宋_GB2312" w:cs="仿宋_GB2312" w:eastAsia="仿宋_GB2312"/>
                <w:sz w:val="21"/>
              </w:rPr>
              <w:t>5)配套2根测试线缆（N型公头- N型公头）</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合同签订后15个日历日交货安装验收完毕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西安工业大学未央校区（采购人指定地点）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设备安装调试经采购人验收合格后达到付款条件起30日内，支付合同总金额100%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采购设备的验收流程包括：到货验收、安装调试、试运行、最终验收。 到货验收：设备到达指定地点后，由采购人技术人员进行初步检查，确认设备的外观、型号等信息是否与合同一致。同时，需要开箱验货，检查设备及配件的外观、数量、包装是否完好无损。如果发现外包装损坏或规格、型号、数量与合同不符等问题，则视为初验不合格，设备应返回给中标人，并记录处理意见。 安装调试：在确认设备符合要求后，由中标人进行设备的安装和调试，确保设备能够正常运行。 试运行：设备安装调试完成后，通常会进入试运行期。本项目运行期为1周，试运行期间，如果出现质量问题，中标人需负责修复或更换货物。试运行结束后，由采购人组织正式验收。 最终验收：在试运行无问题后，由采购人和中标人共同完成最终验收。验收小组对设备的性能、稳定性进行全面测试和评估，根据测试结果决定是否接受该设备，并签署验收报告。最终验收合格后，办理移交手续，并依据合同条款进行付款申报。 2.培训要求：到货后一个月内，至少包含一名原厂技术工程师现场指导，培训时长不低于4小时。中标人须负责开展培训服务，明确各阶段详实培训计划，包括但不限于对教师、实验室设备管理人员等进行培训服务。培训内容包括各种设备的初始化及故障诊断、定位和排除技能等。培训次数不限，达到熟练使用的效果。提供相关主要设备的操作流程及使用手册，维修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本项目整体质保期：验收合格后5年；质保期满后，中标（成交）供应商仍需提供专业维修服务。 质保期内免费提供正常使用的易损件和备件；软件系统提供终身免费升级服务。 设备经过双方检验认可后，签署验收报告，产品保修期自验收合格之日起计算，由中标（成交）供应商提供产品保修文件。 质保期内所有维修服务均由中标（成交）供应商免费上门取、送、修。安装调试1个月内，如有质量问题，设备整机无条件退换货并提供备件以保证教学正常开展。在保修期内，任何质量问题，中标（成交）供应商负责免费维修。 质保期过后需换件时，原则上应提供原装器件，并按成本价收费。 服务响应时间：中标（成交）供应商接到维修电话后2小时内给予明确答复，4小时内到达现场维修。维修人员到现场后若问题特殊无法现场修复的，中标（成交）供应商需在24小时内给出合理解决方案。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投标人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控股管理关系 书面声明</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25分。结合规格、技术参数偏离表的响应证明材料，按招标文件内配置最低要求，每出现1个负偏离，扣1分，带“▲”号指标项每出现1个负偏离扣3分。扣完为止。投标人须按招标文件要求提供带“▲”号指标项的证明材料（证明材料包括但不限于第三方机构出具的检测报告或功能截图或产品说明书或技术参数白皮书等，加盖投标人公章），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提供2021年1月1日至今此类产品业绩（以合同签订时间为准），提供中标通知书和完整合同复印件（扫描件）加盖投标人公章，每份计1分，最高得6分。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技术方案（货物）</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技术方案（货物）</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4、拟派培训人员团队；5. 拟培训时长计划及时间安排。培训方案描述详尽清晰，可行性高，内容完整无缺项漏项，得5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技术方案（货物）</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5、为本项目提供的维修响应时间及备品备件计划。售后服务方案描述详尽清晰，可行性高，内容完整无缺项漏项，得10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详见附件：技术方案（货物）</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