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版本号：DQA-2025055-ZB20250618002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矢量网络分析仪设备采购项目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DQA-2025055-ZB</w:t>
      </w:r>
      <w:r>
        <w:br/>
      </w:r>
      <w:r>
        <w:br/>
      </w:r>
      <w:r>
        <w:br/>
      </w:r>
    </w:p>
    <w:p>
      <w:pPr>
        <w:pStyle w:val="null3"/>
        <w:jc w:val="center"/>
        <w:outlineLvl w:val="2"/>
      </w:pPr>
      <w:r>
        <w:rPr>
          <w:rFonts w:ascii="仿宋_GB2312" w:hAnsi="仿宋_GB2312" w:cs="仿宋_GB2312" w:eastAsia="仿宋_GB2312"/>
          <w:sz w:val="28"/>
          <w:b/>
        </w:rPr>
        <w:t>西安工业大学</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西安工业大学</w:t>
      </w:r>
      <w:r>
        <w:rPr>
          <w:rFonts w:ascii="仿宋_GB2312" w:hAnsi="仿宋_GB2312" w:cs="仿宋_GB2312" w:eastAsia="仿宋_GB2312"/>
        </w:rPr>
        <w:t>委托，拟对</w:t>
      </w:r>
      <w:r>
        <w:rPr>
          <w:rFonts w:ascii="仿宋_GB2312" w:hAnsi="仿宋_GB2312" w:cs="仿宋_GB2312" w:eastAsia="仿宋_GB2312"/>
        </w:rPr>
        <w:t>矢量网络分析仪设备采购项目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DQA-2025055-ZB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矢量网络分析仪设备采购项目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本项目拟采购矢量网络分析仪设备1套，详见项目采购需求。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1、主体资格证明文件：提供有效存续的企业营业执照（副本）/事业单位法人证书/专业服务机构执业许可证/民办非企业单位登记证书等主体资格证明文件，自然人投标提供身份证明。</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9、法定代表人授权委托书：法定代表人参加投标的，须提供本人身份证复印件；法定代表人授权他人参加投标的，须提供法定代表人授权委托书。投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西安工业大学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未央区学府中路2号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029-86173142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银行账号：52880188000127403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成交）供应商在签订合同前5个工作日内，向采购人缴纳合同总价5%的履约保证金；2.中标（成交）供应商如期履约完成且不存在其他任何违约责任，采购人无息由原缴费账户退还履约保证金全款。3.若中标（成交）供应商未能按照合同约定履行，则采购人有权全额扣除履约保证金，并保留追究中标（成交）供应商违约相关的法律责任。</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代理服务费收费标准：中标供应商在领取中标通知书前，须向采购代理机构一次性支付采购代理服务费，采购代理服务费按照中标金额的0.6%计取。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西安工业大学</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西安工业大学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西安工业大学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本项目拟采购矢量网络分析仪设备1套。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矢量网络分析仪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标的名称：矢量网络分析仪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主要功能：</w:t>
            </w:r>
          </w:p>
          <w:p>
            <w:pPr>
              <w:pStyle w:val="null3"/>
              <w:jc w:val="both"/>
            </w:pPr>
            <w:r>
              <w:rPr>
                <w:rFonts w:ascii="仿宋_GB2312" w:hAnsi="仿宋_GB2312" w:cs="仿宋_GB2312" w:eastAsia="仿宋_GB2312"/>
                <w:sz w:val="21"/>
              </w:rPr>
              <w:t>矢量网络分析仪（</w:t>
            </w:r>
            <w:r>
              <w:rPr>
                <w:rFonts w:ascii="仿宋_GB2312" w:hAnsi="仿宋_GB2312" w:cs="仿宋_GB2312" w:eastAsia="仿宋_GB2312"/>
                <w:sz w:val="21"/>
              </w:rPr>
              <w:t>VNA</w:t>
            </w:r>
            <w:r>
              <w:rPr>
                <w:rFonts w:ascii="仿宋_GB2312" w:hAnsi="仿宋_GB2312" w:cs="仿宋_GB2312" w:eastAsia="仿宋_GB2312"/>
                <w:sz w:val="21"/>
              </w:rPr>
              <w:t>）可执行元器件表征测试。可获得传输（传输系数、插入损耗、增益）、反射（反射系数、</w:t>
            </w:r>
            <w:r>
              <w:rPr>
                <w:rFonts w:ascii="仿宋_GB2312" w:hAnsi="仿宋_GB2312" w:cs="仿宋_GB2312" w:eastAsia="仿宋_GB2312"/>
                <w:sz w:val="21"/>
              </w:rPr>
              <w:t>VSWR</w:t>
            </w:r>
            <w:r>
              <w:rPr>
                <w:rFonts w:ascii="仿宋_GB2312" w:hAnsi="仿宋_GB2312" w:cs="仿宋_GB2312" w:eastAsia="仿宋_GB2312"/>
                <w:sz w:val="21"/>
              </w:rPr>
              <w:t xml:space="preserve">、回波损耗）和阻抗测量结果，以及 </w:t>
            </w:r>
            <w:r>
              <w:rPr>
                <w:rFonts w:ascii="仿宋_GB2312" w:hAnsi="仿宋_GB2312" w:cs="仿宋_GB2312" w:eastAsia="仿宋_GB2312"/>
                <w:sz w:val="21"/>
              </w:rPr>
              <w:t xml:space="preserve">s </w:t>
            </w:r>
            <w:r>
              <w:rPr>
                <w:rFonts w:ascii="仿宋_GB2312" w:hAnsi="仿宋_GB2312" w:cs="仿宋_GB2312" w:eastAsia="仿宋_GB2312"/>
                <w:sz w:val="21"/>
              </w:rPr>
              <w:t xml:space="preserve">参数 </w:t>
            </w:r>
            <w:r>
              <w:rPr>
                <w:rFonts w:ascii="仿宋_GB2312" w:hAnsi="仿宋_GB2312" w:cs="仿宋_GB2312" w:eastAsia="仿宋_GB2312"/>
                <w:sz w:val="21"/>
              </w:rPr>
              <w:t>S11</w:t>
            </w:r>
            <w:r>
              <w:rPr>
                <w:rFonts w:ascii="仿宋_GB2312" w:hAnsi="仿宋_GB2312" w:cs="仿宋_GB2312" w:eastAsia="仿宋_GB2312"/>
                <w:sz w:val="21"/>
              </w:rPr>
              <w:t>、</w:t>
            </w:r>
            <w:r>
              <w:rPr>
                <w:rFonts w:ascii="仿宋_GB2312" w:hAnsi="仿宋_GB2312" w:cs="仿宋_GB2312" w:eastAsia="仿宋_GB2312"/>
                <w:sz w:val="21"/>
              </w:rPr>
              <w:t>S12</w:t>
            </w:r>
            <w:r>
              <w:rPr>
                <w:rFonts w:ascii="仿宋_GB2312" w:hAnsi="仿宋_GB2312" w:cs="仿宋_GB2312" w:eastAsia="仿宋_GB2312"/>
                <w:sz w:val="21"/>
              </w:rPr>
              <w:t>、</w:t>
            </w:r>
            <w:r>
              <w:rPr>
                <w:rFonts w:ascii="仿宋_GB2312" w:hAnsi="仿宋_GB2312" w:cs="仿宋_GB2312" w:eastAsia="仿宋_GB2312"/>
                <w:sz w:val="21"/>
              </w:rPr>
              <w:t>S21</w:t>
            </w:r>
            <w:r>
              <w:rPr>
                <w:rFonts w:ascii="仿宋_GB2312" w:hAnsi="仿宋_GB2312" w:cs="仿宋_GB2312" w:eastAsia="仿宋_GB2312"/>
                <w:sz w:val="21"/>
              </w:rPr>
              <w:t>、</w:t>
            </w:r>
            <w:r>
              <w:rPr>
                <w:rFonts w:ascii="仿宋_GB2312" w:hAnsi="仿宋_GB2312" w:cs="仿宋_GB2312" w:eastAsia="仿宋_GB2312"/>
                <w:sz w:val="21"/>
              </w:rPr>
              <w:t>S22</w:t>
            </w:r>
            <w:r>
              <w:rPr>
                <w:rFonts w:ascii="仿宋_GB2312" w:hAnsi="仿宋_GB2312" w:cs="仿宋_GB2312" w:eastAsia="仿宋_GB2312"/>
                <w:sz w:val="21"/>
              </w:rPr>
              <w:t>。同时具备频谱分析，相位噪声测试等拓展能力。</w:t>
            </w:r>
          </w:p>
          <w:p>
            <w:pPr>
              <w:pStyle w:val="null3"/>
              <w:jc w:val="both"/>
            </w:pPr>
            <w:r>
              <w:rPr>
                <w:rFonts w:ascii="仿宋_GB2312" w:hAnsi="仿宋_GB2312" w:cs="仿宋_GB2312" w:eastAsia="仿宋_GB2312"/>
                <w:sz w:val="21"/>
              </w:rPr>
              <w:t>主要技术指标：</w:t>
            </w:r>
          </w:p>
          <w:p>
            <w:pPr>
              <w:pStyle w:val="null3"/>
              <w:jc w:val="both"/>
            </w:pPr>
            <w:r>
              <w:rPr>
                <w:rFonts w:ascii="仿宋_GB2312" w:hAnsi="仿宋_GB2312" w:cs="仿宋_GB2312" w:eastAsia="仿宋_GB2312"/>
                <w:sz w:val="21"/>
              </w:rPr>
              <w:t>矢量网络分析要求：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具备矢量网络分析功能，频率范围</w:t>
            </w:r>
            <w:r>
              <w:rPr>
                <w:rFonts w:ascii="仿宋_GB2312" w:hAnsi="仿宋_GB2312" w:cs="仿宋_GB2312" w:eastAsia="仿宋_GB2312"/>
                <w:sz w:val="21"/>
              </w:rPr>
              <w:t>10MHz~8.5GHz</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端口数：</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频率分辨率：</w:t>
            </w:r>
            <w:r>
              <w:rPr>
                <w:rFonts w:ascii="仿宋_GB2312" w:hAnsi="仿宋_GB2312" w:cs="仿宋_GB2312" w:eastAsia="仿宋_GB2312"/>
                <w:sz w:val="21"/>
              </w:rPr>
              <w:t>≤</w:t>
            </w:r>
            <w:r>
              <w:rPr>
                <w:rFonts w:ascii="仿宋_GB2312" w:hAnsi="仿宋_GB2312" w:cs="仿宋_GB2312" w:eastAsia="仿宋_GB2312"/>
                <w:sz w:val="21"/>
              </w:rPr>
              <w:t>1Hz</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中频带宽：</w:t>
            </w:r>
            <w:r>
              <w:rPr>
                <w:rFonts w:ascii="仿宋_GB2312" w:hAnsi="仿宋_GB2312" w:cs="仿宋_GB2312" w:eastAsia="仿宋_GB2312"/>
                <w:sz w:val="21"/>
              </w:rPr>
              <w:t>1Hz~1MHz</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动态范围：</w:t>
            </w:r>
            <w:r>
              <w:rPr>
                <w:rFonts w:ascii="仿宋_GB2312" w:hAnsi="仿宋_GB2312" w:cs="仿宋_GB2312" w:eastAsia="仿宋_GB2312"/>
                <w:sz w:val="21"/>
              </w:rPr>
              <w:t>≥</w:t>
            </w:r>
            <w:r>
              <w:rPr>
                <w:rFonts w:ascii="仿宋_GB2312" w:hAnsi="仿宋_GB2312" w:cs="仿宋_GB2312" w:eastAsia="仿宋_GB2312"/>
                <w:sz w:val="21"/>
              </w:rPr>
              <w:t>120dB</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扫描点数：</w:t>
            </w:r>
            <w:r>
              <w:rPr>
                <w:rFonts w:ascii="仿宋_GB2312" w:hAnsi="仿宋_GB2312" w:cs="仿宋_GB2312" w:eastAsia="仿宋_GB2312"/>
                <w:sz w:val="21"/>
              </w:rPr>
              <w:t>≥</w:t>
            </w:r>
            <w:r>
              <w:rPr>
                <w:rFonts w:ascii="仿宋_GB2312" w:hAnsi="仿宋_GB2312" w:cs="仿宋_GB2312" w:eastAsia="仿宋_GB2312"/>
                <w:sz w:val="21"/>
              </w:rPr>
              <w:t>10001</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迹线噪声：</w:t>
            </w:r>
            <w:r>
              <w:rPr>
                <w:rFonts w:ascii="仿宋_GB2312" w:hAnsi="仿宋_GB2312" w:cs="仿宋_GB2312" w:eastAsia="仿宋_GB2312"/>
                <w:sz w:val="21"/>
              </w:rPr>
              <w:t>≤</w:t>
            </w:r>
            <w:r>
              <w:rPr>
                <w:rFonts w:ascii="仿宋_GB2312" w:hAnsi="仿宋_GB2312" w:cs="仿宋_GB2312" w:eastAsia="仿宋_GB2312"/>
                <w:sz w:val="21"/>
              </w:rPr>
              <w:t>3mdB rms</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输出功率：</w:t>
            </w:r>
            <w:r>
              <w:rPr>
                <w:rFonts w:ascii="仿宋_GB2312" w:hAnsi="仿宋_GB2312" w:cs="仿宋_GB2312" w:eastAsia="仿宋_GB2312"/>
                <w:sz w:val="21"/>
              </w:rPr>
              <w:t>-50dBm~7dBm</w:t>
            </w:r>
          </w:p>
          <w:p>
            <w:pPr>
              <w:pStyle w:val="null3"/>
              <w:jc w:val="both"/>
            </w:pPr>
            <w:r>
              <w:rPr>
                <w:rFonts w:ascii="仿宋_GB2312" w:hAnsi="仿宋_GB2312" w:cs="仿宋_GB2312" w:eastAsia="仿宋_GB2312"/>
                <w:sz w:val="21"/>
              </w:rPr>
              <w:t>频谱分析要求：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具备频谱分析功能，频率范围</w:t>
            </w:r>
            <w:r>
              <w:rPr>
                <w:rFonts w:ascii="仿宋_GB2312" w:hAnsi="仿宋_GB2312" w:cs="仿宋_GB2312" w:eastAsia="仿宋_GB2312"/>
                <w:sz w:val="21"/>
              </w:rPr>
              <w:t>10MHz~20GHz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具备相位噪声测试功能，</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25</w:t>
            </w:r>
            <w:r>
              <w:rPr>
                <w:rFonts w:ascii="仿宋_GB2312" w:hAnsi="仿宋_GB2312" w:cs="仿宋_GB2312" w:eastAsia="仿宋_GB2312"/>
                <w:sz w:val="21"/>
              </w:rPr>
              <w:t>dBc/Hz</w:t>
            </w:r>
            <w:r>
              <w:rPr>
                <w:rFonts w:ascii="仿宋_GB2312" w:hAnsi="仿宋_GB2312" w:cs="仿宋_GB2312" w:eastAsia="仿宋_GB2312"/>
                <w:sz w:val="21"/>
              </w:rPr>
              <w:t>（</w:t>
            </w:r>
            <w:r>
              <w:rPr>
                <w:rFonts w:ascii="仿宋_GB2312" w:hAnsi="仿宋_GB2312" w:cs="仿宋_GB2312" w:eastAsia="仿宋_GB2312"/>
                <w:sz w:val="21"/>
              </w:rPr>
              <w:t>1GHz</w:t>
            </w:r>
            <w:r>
              <w:rPr>
                <w:rFonts w:ascii="仿宋_GB2312" w:hAnsi="仿宋_GB2312" w:cs="仿宋_GB2312" w:eastAsia="仿宋_GB2312"/>
                <w:sz w:val="21"/>
              </w:rPr>
              <w:t>，</w:t>
            </w:r>
            <w:r>
              <w:rPr>
                <w:rFonts w:ascii="仿宋_GB2312" w:hAnsi="仿宋_GB2312" w:cs="仿宋_GB2312" w:eastAsia="仿宋_GB2312"/>
                <w:sz w:val="21"/>
              </w:rPr>
              <w:t>offset=10kHz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5G NR</w:t>
            </w:r>
            <w:r>
              <w:rPr>
                <w:rFonts w:ascii="仿宋_GB2312" w:hAnsi="仿宋_GB2312" w:cs="仿宋_GB2312" w:eastAsia="仿宋_GB2312"/>
                <w:sz w:val="21"/>
              </w:rPr>
              <w:t>分析、</w:t>
            </w:r>
            <w:r>
              <w:rPr>
                <w:rFonts w:ascii="仿宋_GB2312" w:hAnsi="仿宋_GB2312" w:cs="仿宋_GB2312" w:eastAsia="仿宋_GB2312"/>
                <w:sz w:val="21"/>
              </w:rPr>
              <w:t>EVM</w:t>
            </w:r>
            <w:r>
              <w:rPr>
                <w:rFonts w:ascii="仿宋_GB2312" w:hAnsi="仿宋_GB2312" w:cs="仿宋_GB2312" w:eastAsia="仿宋_GB2312"/>
                <w:sz w:val="21"/>
              </w:rPr>
              <w:t>、</w:t>
            </w:r>
            <w:r>
              <w:rPr>
                <w:rFonts w:ascii="仿宋_GB2312" w:hAnsi="仿宋_GB2312" w:cs="仿宋_GB2312" w:eastAsia="仿宋_GB2312"/>
                <w:sz w:val="21"/>
              </w:rPr>
              <w:t>ACPR</w:t>
            </w:r>
            <w:r>
              <w:rPr>
                <w:rFonts w:ascii="仿宋_GB2312" w:hAnsi="仿宋_GB2312" w:cs="仿宋_GB2312" w:eastAsia="仿宋_GB2312"/>
                <w:sz w:val="21"/>
              </w:rPr>
              <w:t>等测试功能</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 xml:space="preserve">3GPP TS 38.101/38.141 </w:t>
            </w:r>
            <w:r>
              <w:rPr>
                <w:rFonts w:ascii="仿宋_GB2312" w:hAnsi="仿宋_GB2312" w:cs="仿宋_GB2312" w:eastAsia="仿宋_GB2312"/>
                <w:sz w:val="21"/>
              </w:rPr>
              <w:t>等标准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通用要求：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设备形态：台式仪器，具备按键与显示屏</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支持使用网口</w:t>
            </w:r>
            <w:r>
              <w:rPr>
                <w:rFonts w:ascii="仿宋_GB2312" w:hAnsi="仿宋_GB2312" w:cs="仿宋_GB2312" w:eastAsia="仿宋_GB2312"/>
                <w:sz w:val="21"/>
              </w:rPr>
              <w:t>SCPI</w:t>
            </w:r>
            <w:r>
              <w:rPr>
                <w:rFonts w:ascii="仿宋_GB2312" w:hAnsi="仿宋_GB2312" w:cs="仿宋_GB2312" w:eastAsia="仿宋_GB2312"/>
                <w:sz w:val="21"/>
              </w:rPr>
              <w:t>指令控制</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配套</w:t>
            </w:r>
            <w:r>
              <w:rPr>
                <w:rFonts w:ascii="仿宋_GB2312" w:hAnsi="仿宋_GB2312" w:cs="仿宋_GB2312" w:eastAsia="仿宋_GB2312"/>
                <w:sz w:val="21"/>
              </w:rPr>
              <w:t>1</w:t>
            </w:r>
            <w:r>
              <w:rPr>
                <w:rFonts w:ascii="仿宋_GB2312" w:hAnsi="仿宋_GB2312" w:cs="仿宋_GB2312" w:eastAsia="仿宋_GB2312"/>
                <w:sz w:val="21"/>
              </w:rPr>
              <w:t>套机械校准件（</w:t>
            </w:r>
            <w:r>
              <w:rPr>
                <w:rFonts w:ascii="仿宋_GB2312" w:hAnsi="仿宋_GB2312" w:cs="仿宋_GB2312" w:eastAsia="仿宋_GB2312"/>
                <w:sz w:val="21"/>
              </w:rPr>
              <w:t>N</w:t>
            </w:r>
            <w:r>
              <w:rPr>
                <w:rFonts w:ascii="仿宋_GB2312" w:hAnsi="仿宋_GB2312" w:cs="仿宋_GB2312" w:eastAsia="仿宋_GB2312"/>
                <w:sz w:val="21"/>
              </w:rPr>
              <w:t>型母头）</w:t>
            </w:r>
          </w:p>
          <w:p>
            <w:pPr>
              <w:pStyle w:val="null3"/>
              <w:jc w:val="both"/>
            </w:pPr>
            <w:r>
              <w:rPr>
                <w:rFonts w:ascii="仿宋_GB2312" w:hAnsi="仿宋_GB2312" w:cs="仿宋_GB2312" w:eastAsia="仿宋_GB2312"/>
                <w:sz w:val="21"/>
              </w:rPr>
              <w:t>配套</w:t>
            </w:r>
            <w:r>
              <w:rPr>
                <w:rFonts w:ascii="仿宋_GB2312" w:hAnsi="仿宋_GB2312" w:cs="仿宋_GB2312" w:eastAsia="仿宋_GB2312"/>
                <w:sz w:val="21"/>
              </w:rPr>
              <w:t>2</w:t>
            </w:r>
            <w:r>
              <w:rPr>
                <w:rFonts w:ascii="仿宋_GB2312" w:hAnsi="仿宋_GB2312" w:cs="仿宋_GB2312" w:eastAsia="仿宋_GB2312"/>
                <w:sz w:val="21"/>
              </w:rPr>
              <w:t>根测试线缆（</w:t>
            </w:r>
            <w:r>
              <w:rPr>
                <w:rFonts w:ascii="仿宋_GB2312" w:hAnsi="仿宋_GB2312" w:cs="仿宋_GB2312" w:eastAsia="仿宋_GB2312"/>
                <w:sz w:val="21"/>
              </w:rPr>
              <w:t>N</w:t>
            </w:r>
            <w:r>
              <w:rPr>
                <w:rFonts w:ascii="仿宋_GB2312" w:hAnsi="仿宋_GB2312" w:cs="仿宋_GB2312" w:eastAsia="仿宋_GB2312"/>
                <w:sz w:val="21"/>
              </w:rPr>
              <w:t>型公头</w:t>
            </w:r>
            <w:r>
              <w:rPr>
                <w:rFonts w:ascii="仿宋_GB2312" w:hAnsi="仿宋_GB2312" w:cs="仿宋_GB2312" w:eastAsia="仿宋_GB2312"/>
                <w:sz w:val="21"/>
              </w:rPr>
              <w:t>- N</w:t>
            </w:r>
            <w:r>
              <w:rPr>
                <w:rFonts w:ascii="仿宋_GB2312" w:hAnsi="仿宋_GB2312" w:cs="仿宋_GB2312" w:eastAsia="仿宋_GB2312"/>
                <w:sz w:val="21"/>
              </w:rPr>
              <w:t>型公头）</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合同签订后15个日历日交货安装验收完毕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西安工业大学未央校区（采购人指定地点）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设备安装调试经采购人验收合格后达到付款条件起30日内，支付合同总金额100%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采购设备的验收流程包括：到货验收、安装调试、试运行、最终验收。 到货验收：设备到达指定地点后，由采购人技术人员进行初步检查，确认设备的外观、型号等信息是否与合同一致。同时，需要开箱验货，检查设备及配件的外观、数量、包装是否完好无损。如果发现外包装损坏或规格、型号、数量与合同不符等问题，则视为初验不合格，设备应返回给中标人，并记录处理意见。 安装调试：在确认设备符合要求后，由中标人进行设备的安装和调试，确保设备能够正常运行。 试运行：设备安装调试完成后，通常会进入试运行期。本项目运行期为1周，试运行期间，如果出现质量问题，中标人需负责修复或更换货物。试运行结束后，由采购人组织正式验收。 最终验收：在试运行无问题后，由采购人和中标人共同完成最终验收。验收小组对设备的性能、稳定性进行全面测试和评估，根据测试结果决定是否接受该设备，并签署验收报告。最终验收合格后，办理移交手续，并依据合同条款进行付款申报。 2.培训要求：到货后一个月内，至少包含一名原厂技术工程师现场指导，培训时长不低于4小时。中标人须负责开展培训服务，明确各阶段详实培训计划，包括但不限于对教师、实验室设备管理人员等进行培训服务。培训内容包括各种设备的初始化及故障诊断、定位和排除技能等。培训次数不限，达到熟练使用的效果。提供相关主要设备的操作流程及使用手册，维修手册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本项目整体质保期：验收合格后5年；质保期满后，中标（成交）供应商仍需提供专业维修服务。 质保期内免费提供正常使用的易损件和备件；软件系统提供终身免费升级服务。 设备经过双方检验认可后，签署验收报告，产品保修期自验收合格之日起计算，由中标（成交）供应商提供产品保修文件。 质保期内所有维修服务均由中标（成交）供应商免费上门取、送、修。安装调试1个月内，如有质量问题，设备整机无条件退换货并提供备件以保证教学正常开展。在保修期内，任何质量问题，中标（成交）供应商负责免费维修。 质保期过后需换件时，原则上应提供原装器件，并按成本价收费。 服务响应时间：中标（成交）供应商接到维修电话后2小时内给予明确答复，4小时内到达现场维修。维修人员到现场后若问题特殊无法现场修复的，中标（成交）供应商需在24小时内给出合理解决方案。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1）投标人需要在线提交所有通过电子化交易平台实施的政府采购项目的投标文件，同时，线下提交纸质投标文件正本壹份、副本贰份。若电子投标文件与纸质投标文件不一致的，以电子投标文件为准。（2）投标文件，正、副本分别各自装订成册密封。在封口处加盖投标人公章。（3）线下投标文件递交截止时间与线上开评标时间一致。（4）纸质投标文件可邮寄递交，应于递交投标文件截止时间前邮寄到西安市高新区丈八一路1号汇鑫中心D座2206室（陕西德勤招标有限公司）。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deqinjxm@126.com（邮件命名：项目编号）；投标人应在投标文件中附保函扫描件。保函必须由具有开具投标保函资格的单位开具；若中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3、因文件关于合同签订时间无法修改，特在此处说明，中标中标人应当在中标通知书发出之日起25日内与采购人签订政府采购合同。 4、合同价款：全部成本、预期利益、税费、设备价、运输费（含保险费）、安装调试费、培训费、产品辅材费、系统集成费用、安装期间必须的场地调整费用、安全维护、售后服务费、驻场及其他后期维保费用、备品备件费用、第三方接口费、其它伴随费用和合同中规定中标人应承担的其他义务的费用等。合同总价一次性包死，不受市场价格变化因素的影响。除本合同总金额外，采购人不再支付任何其他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控股管理关系 书面声明</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法定代表人授权他人参加投标的，须提供法定代表人授权委托书。投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保证金汇款声明函 技术方案（货物） 中小企业声明函 商务应答表 控股管理关系 法定代表人授权书 投标人应提交的相关资格证明材料 近三年无重大违法、违纪书面声明 产品技术参数表 投标函 残疾人福利性单位声明函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保证金汇款声明函 技术方案（货物） 中小企业声明函 商务应答表 控股管理关系 法定代表人授权书 投标人应提交的相关资格证明材料 近三年无重大违法、违纪书面声明 产品技术参数表 投标函 残疾人福利性单位声明函 标的清单 非联合体不分包投标声明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方案中各项设备及软件功能的技术参数响应清晰明确，符合使用要求，技术指标和性能完全响应招标文件要求，满足使用需求，计25分。结合规格、技术参数偏离表的响应证明材料，按招标文件内配置最低要求，每出现1个负偏离，扣1分，带“▲”号指标项每出现1个负偏离扣3分。扣完为止。投标人须按招标文件要求提供带“▲”号指标项的证明材料（证明材料包括但不限于第三方机构出具的检测报告或功能截图或产品说明书或技术参数白皮书等，加盖投标人公章），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技术方案（货物）</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标人针对本项目时间合理性，1、提供具体可行的实施方案，具体的供货组织安排；2、详细的人员、财力调配、运输、派送措施及设备到货后验收；3、实施进度及保证措施设备安装；4、人员组成及人员调配、安装调试等。根据方案的完整全面，实施方案组织合理，调配运输方案清晰明确，进度保障措施先进可靠，能够切实保障项目时效性的得12分；每有一项缺项内容扣3分，每有一处内容存在缺陷扣1.5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技术方案（货物）</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提供2021年1月1日至今此类产品业绩（以合同签订时间为准），提供中标通知书和完整合同复印件（扫描件）加盖投标人公章，每份计1分，最高得6分。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技术方案（货物）</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整体配置具有合理性、一致性、兼容性；2、产品品牌、型号、产地明确，备品配件供应有保障；3、可提供的增值服务；4、保证使用单位能熟练操作维护和正常使用。选型方案先进可靠，质量保证承诺详尽得12分；每有一项缺项内容扣3分，每有一处内容存在缺陷扣1.5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技术方案（货物）</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内容包含：1、培训地点及时间安排；2、培训内容安排，内容至少应包括：所提供产品的原理和技术性能、操作维护方法、安装调试、排除故障等各个方面；3、现场及远程培训方案；4、拟派培训人员团队；5. 拟培训时长计划及时间安排。培训方案描述详尽清晰，可行性高，内容完整无缺项漏项，得5分，每有一项缺项内容扣1分，每有一处内容存在缺陷扣0.5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技术方案（货物）</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售后服务方案，内容包含：1、为本项目配备的售后服务团队；2、为本项目提供的后期运维及提升等服务承诺；3、可提供增值服务；4、保修期的保修范围和维护期的服务范围等；5、为本项目提供的维修响应时间及备品备件计划。售后服务方案描述详尽清晰，可行性高，内容完整无缺项漏项，得10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技术方案（货物）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采用低价优先法计算，即实质性满足招标文件要求且价格最低的报价为评标基准价，其价格分为满分。投标报价得分＝（评标基准价/投标报价）×30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详见附件：技术方案（货物）</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