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版本号：【KRDL】K4-250507920250610001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通勤班车租赁项目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【KRDL】K4-2505079</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通勤班车租赁项目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【KRDL】K4-2505079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通勤班车租赁项目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西安建筑科技大学通勤班车租赁项目，服务内容包含：西安建筑科技大学通勤班车雁塔校区至草堂校区往返、西安建筑科技大学迎新接站、其他零散用车等，具体服务内容见及要求详见“第三章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采购包1（通勤班车租赁项目）：属于专门面向中小企业采购。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4、财务状况证明：供应商提供经会计师事务所审计的2023或2024年完整的财务审计报告或在开标日期前六个月内其基本开户银行出具的资信证明；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7、供应商资质要求：供应商须具有具备交通管理部门核发的有效《道路运输经营许可证》；</w:t>
      </w:r>
    </w:p>
    <w:p>
      <w:pPr>
        <w:pStyle w:val="null3"/>
      </w:pPr>
      <w:r>
        <w:rPr>
          <w:rFonts w:ascii="仿宋_GB2312" w:hAnsi="仿宋_GB2312" w:cs="仿宋_GB2312" w:eastAsia="仿宋_GB2312"/>
        </w:rPr>
        <w:t>8、是否面向中、小企业采购：本项目专门面向中小企业采购。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17302920968、029-89581863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代理服务费收费标准：参照国家计委颁布的《招标代理服务收费管理暂行办法》（计价格[2002]1980号）及发改办价格[2003]857号文件的规定标准下浮25%收取，本项目代理服务费按服务计取。 备注：在对采购代理服务费或者响应保证金转账时需备注项目名称+采购代理服务费或响应保证金。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联系人：代光艳、贾亚妮</w:t>
      </w:r>
    </w:p>
    <w:p>
      <w:pPr>
        <w:pStyle w:val="null3"/>
      </w:pPr>
      <w:r>
        <w:rPr>
          <w:rFonts w:ascii="仿宋_GB2312" w:hAnsi="仿宋_GB2312" w:cs="仿宋_GB2312" w:eastAsia="仿宋_GB2312"/>
        </w:rPr>
        <w:t>联系电话：029-89581863、17302920968、15667067713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西安建筑科技大学通勤班车租赁项目，服务内容包含西安建筑科技大学通勤班车雁塔校区至草堂校区往返、西安建筑科技大学迎新接站、其他零散用车等。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1,752,575.00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通勤班车租赁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标的名称：通勤班车租赁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723"/>
            </w:pPr>
            <w:r>
              <w:rPr>
                <w:rFonts w:ascii="仿宋_GB2312" w:hAnsi="仿宋_GB2312" w:cs="仿宋_GB2312" w:eastAsia="仿宋_GB2312"/>
              </w:rPr>
              <w:t>一、项目概况</w:t>
            </w:r>
          </w:p>
          <w:p>
            <w:pPr>
              <w:pStyle w:val="null3"/>
            </w:pPr>
            <w:r>
              <w:rPr>
                <w:rFonts w:ascii="仿宋_GB2312" w:hAnsi="仿宋_GB2312" w:cs="仿宋_GB2312" w:eastAsia="仿宋_GB2312"/>
              </w:rPr>
              <w:t>西安建筑科技大学通勤班车租赁项目，服务内容包含西安建筑科技大学通勤班车雁塔校区至草堂校区往返、西安建筑科技大学迎新接站、其他零散用车等。</w:t>
            </w:r>
          </w:p>
          <w:p>
            <w:pPr>
              <w:pStyle w:val="null3"/>
            </w:pPr>
            <w:r>
              <w:rPr>
                <w:rFonts w:ascii="仿宋_GB2312" w:hAnsi="仿宋_GB2312" w:cs="仿宋_GB2312" w:eastAsia="仿宋_GB2312"/>
              </w:rPr>
              <w:t xml:space="preserve">  二、服务内容及要求</w:t>
            </w:r>
          </w:p>
          <w:p>
            <w:pPr>
              <w:pStyle w:val="null3"/>
            </w:pPr>
            <w:r>
              <w:rPr>
                <w:rFonts w:ascii="仿宋_GB2312" w:hAnsi="仿宋_GB2312" w:cs="仿宋_GB2312" w:eastAsia="仿宋_GB2312"/>
              </w:rPr>
              <w:t>（一）车辆用途及限价要求</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jc w:val="center"/>
                  </w:pPr>
                  <w:r>
                    <w:rPr>
                      <w:rFonts w:ascii="仿宋_GB2312" w:hAnsi="仿宋_GB2312" w:cs="仿宋_GB2312" w:eastAsia="仿宋_GB2312"/>
                    </w:rPr>
                    <w:t>序号</w:t>
                  </w:r>
                </w:p>
              </w:tc>
              <w:tc>
                <w:tcPr>
                  <w:tcW w:type="dxa" w:w="365"/>
                </w:tcPr>
                <w:p>
                  <w:pPr>
                    <w:pStyle w:val="null3"/>
                    <w:jc w:val="center"/>
                  </w:pPr>
                  <w:r>
                    <w:rPr>
                      <w:rFonts w:ascii="仿宋_GB2312" w:hAnsi="仿宋_GB2312" w:cs="仿宋_GB2312" w:eastAsia="仿宋_GB2312"/>
                    </w:rPr>
                    <w:t>车辆用途</w:t>
                  </w:r>
                </w:p>
              </w:tc>
              <w:tc>
                <w:tcPr>
                  <w:tcW w:type="dxa" w:w="365"/>
                </w:tcPr>
                <w:p>
                  <w:pPr>
                    <w:pStyle w:val="null3"/>
                    <w:jc w:val="center"/>
                  </w:pPr>
                  <w:r>
                    <w:rPr>
                      <w:rFonts w:ascii="仿宋_GB2312" w:hAnsi="仿宋_GB2312" w:cs="仿宋_GB2312" w:eastAsia="仿宋_GB2312"/>
                    </w:rPr>
                    <w:t>路线</w:t>
                  </w:r>
                </w:p>
              </w:tc>
              <w:tc>
                <w:tcPr>
                  <w:tcW w:type="dxa" w:w="365"/>
                </w:tcPr>
                <w:p>
                  <w:pPr>
                    <w:pStyle w:val="null3"/>
                    <w:jc w:val="center"/>
                  </w:pPr>
                  <w:r>
                    <w:rPr>
                      <w:rFonts w:ascii="仿宋_GB2312" w:hAnsi="仿宋_GB2312" w:cs="仿宋_GB2312" w:eastAsia="仿宋_GB2312"/>
                    </w:rPr>
                    <w:t>发车要求</w:t>
                  </w:r>
                </w:p>
              </w:tc>
              <w:tc>
                <w:tcPr>
                  <w:tcW w:type="dxa" w:w="365"/>
                </w:tcPr>
                <w:p>
                  <w:pPr>
                    <w:pStyle w:val="null3"/>
                    <w:jc w:val="center"/>
                  </w:pPr>
                  <w:r>
                    <w:rPr>
                      <w:rFonts w:ascii="仿宋_GB2312" w:hAnsi="仿宋_GB2312" w:cs="仿宋_GB2312" w:eastAsia="仿宋_GB2312"/>
                    </w:rPr>
                    <w:t>往返趟次</w:t>
                  </w:r>
                </w:p>
                <w:p>
                  <w:pPr>
                    <w:pStyle w:val="null3"/>
                    <w:jc w:val="center"/>
                  </w:pPr>
                  <w:r>
                    <w:rPr>
                      <w:rFonts w:ascii="仿宋_GB2312" w:hAnsi="仿宋_GB2312" w:cs="仿宋_GB2312" w:eastAsia="仿宋_GB2312"/>
                    </w:rPr>
                    <w:t>（预估）</w:t>
                  </w:r>
                </w:p>
              </w:tc>
              <w:tc>
                <w:tcPr>
                  <w:tcW w:type="dxa" w:w="365"/>
                </w:tcPr>
                <w:p>
                  <w:pPr>
                    <w:pStyle w:val="null3"/>
                    <w:jc w:val="center"/>
                  </w:pPr>
                  <w:r>
                    <w:rPr>
                      <w:rFonts w:ascii="仿宋_GB2312" w:hAnsi="仿宋_GB2312" w:cs="仿宋_GB2312" w:eastAsia="仿宋_GB2312"/>
                    </w:rPr>
                    <w:t>单价限价金额</w:t>
                  </w:r>
                </w:p>
                <w:p>
                  <w:pPr>
                    <w:pStyle w:val="null3"/>
                    <w:jc w:val="center"/>
                  </w:pPr>
                  <w:r>
                    <w:rPr>
                      <w:rFonts w:ascii="仿宋_GB2312" w:hAnsi="仿宋_GB2312" w:cs="仿宋_GB2312" w:eastAsia="仿宋_GB2312"/>
                    </w:rPr>
                    <w:t>（元）</w:t>
                  </w:r>
                </w:p>
              </w:tc>
              <w:tc>
                <w:tcPr>
                  <w:tcW w:type="dxa" w:w="365"/>
                </w:tcPr>
                <w:p>
                  <w:pPr>
                    <w:pStyle w:val="null3"/>
                    <w:jc w:val="center"/>
                  </w:pPr>
                  <w:r>
                    <w:rPr>
                      <w:rFonts w:ascii="仿宋_GB2312" w:hAnsi="仿宋_GB2312" w:cs="仿宋_GB2312" w:eastAsia="仿宋_GB2312"/>
                    </w:rPr>
                    <w:t>单价限价合计金额（元）</w:t>
                  </w:r>
                </w:p>
              </w:tc>
            </w:tr>
            <w:tr>
              <w:tc>
                <w:tcPr>
                  <w:tcW w:type="dxa" w:w="365"/>
                </w:tcPr>
                <w:p>
                  <w:pPr>
                    <w:pStyle w:val="null3"/>
                    <w:jc w:val="center"/>
                  </w:pPr>
                  <w:r>
                    <w:rPr>
                      <w:rFonts w:ascii="仿宋_GB2312" w:hAnsi="仿宋_GB2312" w:cs="仿宋_GB2312" w:eastAsia="仿宋_GB2312"/>
                    </w:rPr>
                    <w:t>1</w:t>
                  </w:r>
                </w:p>
              </w:tc>
              <w:tc>
                <w:tcPr>
                  <w:tcW w:type="dxa" w:w="365"/>
                </w:tcPr>
                <w:p>
                  <w:pPr>
                    <w:pStyle w:val="null3"/>
                    <w:jc w:val="center"/>
                  </w:pPr>
                  <w:r>
                    <w:rPr>
                      <w:rFonts w:ascii="仿宋_GB2312" w:hAnsi="仿宋_GB2312" w:cs="仿宋_GB2312" w:eastAsia="仿宋_GB2312"/>
                    </w:rPr>
                    <w:t>通勤用车，需求4台</w:t>
                  </w:r>
                </w:p>
              </w:tc>
              <w:tc>
                <w:tcPr>
                  <w:tcW w:type="dxa" w:w="365"/>
                </w:tcPr>
                <w:p>
                  <w:pPr>
                    <w:pStyle w:val="null3"/>
                    <w:jc w:val="center"/>
                  </w:pPr>
                  <w:r>
                    <w:rPr>
                      <w:rFonts w:ascii="仿宋_GB2312" w:hAnsi="仿宋_GB2312" w:cs="仿宋_GB2312" w:eastAsia="仿宋_GB2312"/>
                    </w:rPr>
                    <w:t>雁塔校区发往草堂校区</w:t>
                  </w:r>
                </w:p>
              </w:tc>
              <w:tc>
                <w:tcPr>
                  <w:tcW w:type="dxa" w:w="365"/>
                  <w:vMerge w:val="restart"/>
                </w:tcPr>
                <w:p>
                  <w:pPr>
                    <w:pStyle w:val="null3"/>
                    <w:jc w:val="center"/>
                  </w:pPr>
                  <w:r>
                    <w:rPr>
                      <w:rFonts w:ascii="仿宋_GB2312" w:hAnsi="仿宋_GB2312" w:cs="仿宋_GB2312" w:eastAsia="仿宋_GB2312"/>
                    </w:rPr>
                    <w:t>具体详见现阶段发车时刻</w:t>
                  </w:r>
                </w:p>
                <w:p>
                  <w:pPr>
                    <w:pStyle w:val="null3"/>
                    <w:jc w:val="center"/>
                  </w:pPr>
                  <w:r>
                    <w:rPr>
                      <w:rFonts w:ascii="仿宋_GB2312" w:hAnsi="仿宋_GB2312" w:cs="仿宋_GB2312" w:eastAsia="仿宋_GB2312"/>
                    </w:rPr>
                    <w:t>要求</w:t>
                  </w:r>
                </w:p>
              </w:tc>
              <w:tc>
                <w:tcPr>
                  <w:tcW w:type="dxa" w:w="365"/>
                </w:tcPr>
                <w:p>
                  <w:pPr>
                    <w:pStyle w:val="null3"/>
                    <w:jc w:val="center"/>
                  </w:pPr>
                  <w:r>
                    <w:rPr>
                      <w:rFonts w:ascii="仿宋_GB2312" w:hAnsi="仿宋_GB2312" w:cs="仿宋_GB2312" w:eastAsia="仿宋_GB2312"/>
                    </w:rPr>
                    <w:t>全年往返趟数约1765趟</w:t>
                  </w:r>
                </w:p>
              </w:tc>
              <w:tc>
                <w:tcPr>
                  <w:tcW w:type="dxa" w:w="365"/>
                </w:tcPr>
                <w:p>
                  <w:pPr>
                    <w:pStyle w:val="null3"/>
                    <w:jc w:val="center"/>
                  </w:pPr>
                  <w:r>
                    <w:rPr>
                      <w:rFonts w:ascii="仿宋_GB2312" w:hAnsi="仿宋_GB2312" w:cs="仿宋_GB2312" w:eastAsia="仿宋_GB2312"/>
                    </w:rPr>
                    <w:t>第一趟:900.00</w:t>
                  </w:r>
                </w:p>
                <w:p>
                  <w:pPr>
                    <w:pStyle w:val="null3"/>
                    <w:jc w:val="center"/>
                  </w:pPr>
                  <w:r>
                    <w:rPr>
                      <w:rFonts w:ascii="仿宋_GB2312" w:hAnsi="仿宋_GB2312" w:cs="仿宋_GB2312" w:eastAsia="仿宋_GB2312"/>
                    </w:rPr>
                    <w:t>第二趟:450.00</w:t>
                  </w:r>
                </w:p>
                <w:p>
                  <w:pPr>
                    <w:pStyle w:val="null3"/>
                    <w:jc w:val="center"/>
                  </w:pPr>
                  <w:r>
                    <w:rPr>
                      <w:rFonts w:ascii="仿宋_GB2312" w:hAnsi="仿宋_GB2312" w:cs="仿宋_GB2312" w:eastAsia="仿宋_GB2312"/>
                    </w:rPr>
                    <w:t>（备注：第二趟意指同一辆车同一天同一路线的第二趟次往返费用）</w:t>
                  </w:r>
                </w:p>
              </w:tc>
              <w:tc>
                <w:tcPr>
                  <w:tcW w:type="dxa" w:w="365"/>
                </w:tcPr>
                <w:p>
                  <w:pPr>
                    <w:pStyle w:val="null3"/>
                    <w:jc w:val="center"/>
                  </w:pPr>
                  <w:r>
                    <w:rPr>
                      <w:rFonts w:ascii="仿宋_GB2312" w:hAnsi="仿宋_GB2312" w:cs="仿宋_GB2312" w:eastAsia="仿宋_GB2312"/>
                    </w:rPr>
                    <w:t>1191375.00元</w:t>
                  </w:r>
                </w:p>
                <w:p>
                  <w:pPr>
                    <w:pStyle w:val="null3"/>
                    <w:jc w:val="center"/>
                  </w:pPr>
                  <w:r>
                    <w:rPr>
                      <w:rFonts w:ascii="仿宋_GB2312" w:hAnsi="仿宋_GB2312" w:cs="仿宋_GB2312" w:eastAsia="仿宋_GB2312"/>
                    </w:rPr>
                    <w:t>备注：根据“（第一趟单价+第二趟单价）/2*1765趟（预估）”计算</w:t>
                  </w:r>
                </w:p>
              </w:tc>
            </w:tr>
            <w:tr>
              <w:tc>
                <w:tcPr>
                  <w:tcW w:type="dxa" w:w="365"/>
                </w:tcPr>
                <w:p>
                  <w:pPr>
                    <w:pStyle w:val="null3"/>
                    <w:jc w:val="center"/>
                  </w:pPr>
                  <w:r>
                    <w:rPr>
                      <w:rFonts w:ascii="仿宋_GB2312" w:hAnsi="仿宋_GB2312" w:cs="仿宋_GB2312" w:eastAsia="仿宋_GB2312"/>
                    </w:rPr>
                    <w:t>2</w:t>
                  </w:r>
                </w:p>
              </w:tc>
              <w:tc>
                <w:tcPr>
                  <w:tcW w:type="dxa" w:w="365"/>
                </w:tcPr>
                <w:p>
                  <w:pPr>
                    <w:pStyle w:val="null3"/>
                    <w:jc w:val="center"/>
                  </w:pPr>
                  <w:r>
                    <w:rPr>
                      <w:rFonts w:ascii="仿宋_GB2312" w:hAnsi="仿宋_GB2312" w:cs="仿宋_GB2312" w:eastAsia="仿宋_GB2312"/>
                    </w:rPr>
                    <w:t>教学用车</w:t>
                  </w:r>
                </w:p>
              </w:tc>
              <w:tc>
                <w:tcPr>
                  <w:tcW w:type="dxa" w:w="365"/>
                </w:tcPr>
                <w:p>
                  <w:pPr>
                    <w:pStyle w:val="null3"/>
                    <w:jc w:val="center"/>
                  </w:pPr>
                  <w:r>
                    <w:rPr>
                      <w:rFonts w:ascii="仿宋_GB2312" w:hAnsi="仿宋_GB2312" w:cs="仿宋_GB2312" w:eastAsia="仿宋_GB2312"/>
                    </w:rPr>
                    <w:t>雁塔校区发往草堂校区</w:t>
                  </w:r>
                </w:p>
              </w:tc>
              <w:tc>
                <w:tcPr>
                  <w:tcW w:type="dxa" w:w="365"/>
                  <w:vMerge/>
                </w:tcPr>
                <w:p/>
              </w:tc>
              <w:tc>
                <w:tcPr>
                  <w:tcW w:type="dxa" w:w="365"/>
                </w:tcPr>
                <w:p>
                  <w:pPr>
                    <w:pStyle w:val="null3"/>
                    <w:jc w:val="center"/>
                  </w:pPr>
                  <w:r>
                    <w:rPr>
                      <w:rFonts w:ascii="仿宋_GB2312" w:hAnsi="仿宋_GB2312" w:cs="仿宋_GB2312" w:eastAsia="仿宋_GB2312"/>
                    </w:rPr>
                    <w:t>全年往返趟数约400趟</w:t>
                  </w:r>
                </w:p>
              </w:tc>
              <w:tc>
                <w:tcPr>
                  <w:tcW w:type="dxa" w:w="365"/>
                </w:tcPr>
                <w:p>
                  <w:pPr>
                    <w:pStyle w:val="null3"/>
                    <w:jc w:val="center"/>
                  </w:pPr>
                  <w:r>
                    <w:rPr>
                      <w:rFonts w:ascii="仿宋_GB2312" w:hAnsi="仿宋_GB2312" w:cs="仿宋_GB2312" w:eastAsia="仿宋_GB2312"/>
                    </w:rPr>
                    <w:t>单趟往返:900.00</w:t>
                  </w:r>
                </w:p>
              </w:tc>
              <w:tc>
                <w:tcPr>
                  <w:tcW w:type="dxa" w:w="365"/>
                </w:tcPr>
                <w:p>
                  <w:pPr>
                    <w:pStyle w:val="null3"/>
                    <w:jc w:val="center"/>
                  </w:pPr>
                  <w:r>
                    <w:rPr>
                      <w:rFonts w:ascii="仿宋_GB2312" w:hAnsi="仿宋_GB2312" w:cs="仿宋_GB2312" w:eastAsia="仿宋_GB2312"/>
                    </w:rPr>
                    <w:t>360000.00元</w:t>
                  </w:r>
                </w:p>
                <w:p>
                  <w:pPr>
                    <w:pStyle w:val="null3"/>
                    <w:jc w:val="center"/>
                  </w:pPr>
                  <w:r>
                    <w:rPr>
                      <w:rFonts w:ascii="仿宋_GB2312" w:hAnsi="仿宋_GB2312" w:cs="仿宋_GB2312" w:eastAsia="仿宋_GB2312"/>
                    </w:rPr>
                    <w:t>备注：根据“单趟往返报价*400趟（预估）”计算</w:t>
                  </w:r>
                </w:p>
              </w:tc>
            </w:tr>
            <w:tr>
              <w:tc>
                <w:tcPr>
                  <w:tcW w:type="dxa" w:w="365"/>
                </w:tcPr>
                <w:p>
                  <w:pPr>
                    <w:pStyle w:val="null3"/>
                    <w:jc w:val="center"/>
                  </w:pPr>
                  <w:r>
                    <w:rPr>
                      <w:rFonts w:ascii="仿宋_GB2312" w:hAnsi="仿宋_GB2312" w:cs="仿宋_GB2312" w:eastAsia="仿宋_GB2312"/>
                    </w:rPr>
                    <w:t>3</w:t>
                  </w:r>
                </w:p>
              </w:tc>
              <w:tc>
                <w:tcPr>
                  <w:tcW w:type="dxa" w:w="365"/>
                </w:tcPr>
                <w:p>
                  <w:pPr>
                    <w:pStyle w:val="null3"/>
                    <w:jc w:val="center"/>
                  </w:pPr>
                  <w:r>
                    <w:rPr>
                      <w:rFonts w:ascii="仿宋_GB2312" w:hAnsi="仿宋_GB2312" w:cs="仿宋_GB2312" w:eastAsia="仿宋_GB2312"/>
                    </w:rPr>
                    <w:t>迎新接站用车</w:t>
                  </w:r>
                </w:p>
              </w:tc>
              <w:tc>
                <w:tcPr>
                  <w:tcW w:type="dxa" w:w="365"/>
                </w:tcPr>
                <w:p>
                  <w:pPr>
                    <w:pStyle w:val="null3"/>
                    <w:jc w:val="center"/>
                  </w:pPr>
                  <w:r>
                    <w:rPr>
                      <w:rFonts w:ascii="仿宋_GB2312" w:hAnsi="仿宋_GB2312" w:cs="仿宋_GB2312" w:eastAsia="仿宋_GB2312"/>
                    </w:rPr>
                    <w:t>雁塔校区、西安火车站--草堂校区</w:t>
                  </w:r>
                </w:p>
              </w:tc>
              <w:tc>
                <w:tcPr>
                  <w:tcW w:type="dxa" w:w="365"/>
                  <w:vMerge w:val="restart"/>
                </w:tcPr>
                <w:p>
                  <w:pPr>
                    <w:pStyle w:val="null3"/>
                    <w:jc w:val="center"/>
                  </w:pPr>
                  <w:r>
                    <w:rPr>
                      <w:rFonts w:ascii="仿宋_GB2312" w:hAnsi="仿宋_GB2312" w:cs="仿宋_GB2312" w:eastAsia="仿宋_GB2312"/>
                    </w:rPr>
                    <w:t>具体以采购人实际要求为准</w:t>
                  </w:r>
                </w:p>
              </w:tc>
              <w:tc>
                <w:tcPr>
                  <w:tcW w:type="dxa" w:w="365"/>
                </w:tcPr>
                <w:p>
                  <w:pPr>
                    <w:pStyle w:val="null3"/>
                    <w:jc w:val="center"/>
                  </w:pPr>
                  <w:r>
                    <w:rPr>
                      <w:rFonts w:ascii="仿宋_GB2312" w:hAnsi="仿宋_GB2312" w:cs="仿宋_GB2312" w:eastAsia="仿宋_GB2312"/>
                    </w:rPr>
                    <w:t>往返趟数</w:t>
                  </w:r>
                </w:p>
                <w:p>
                  <w:pPr>
                    <w:pStyle w:val="null3"/>
                    <w:jc w:val="center"/>
                  </w:pPr>
                  <w:r>
                    <w:rPr>
                      <w:rFonts w:ascii="仿宋_GB2312" w:hAnsi="仿宋_GB2312" w:cs="仿宋_GB2312" w:eastAsia="仿宋_GB2312"/>
                    </w:rPr>
                    <w:t>约60趟</w:t>
                  </w:r>
                </w:p>
              </w:tc>
              <w:tc>
                <w:tcPr>
                  <w:tcW w:type="dxa" w:w="365"/>
                </w:tcPr>
                <w:p>
                  <w:pPr>
                    <w:pStyle w:val="null3"/>
                    <w:jc w:val="center"/>
                  </w:pPr>
                  <w:r>
                    <w:rPr>
                      <w:rFonts w:ascii="仿宋_GB2312" w:hAnsi="仿宋_GB2312" w:cs="仿宋_GB2312" w:eastAsia="仿宋_GB2312"/>
                    </w:rPr>
                    <w:t>单趟往返: 520.00</w:t>
                  </w:r>
                </w:p>
              </w:tc>
              <w:tc>
                <w:tcPr>
                  <w:tcW w:type="dxa" w:w="365"/>
                </w:tcPr>
                <w:p>
                  <w:pPr>
                    <w:pStyle w:val="null3"/>
                    <w:jc w:val="center"/>
                  </w:pPr>
                  <w:r>
                    <w:rPr>
                      <w:rFonts w:ascii="仿宋_GB2312" w:hAnsi="仿宋_GB2312" w:cs="仿宋_GB2312" w:eastAsia="仿宋_GB2312"/>
                    </w:rPr>
                    <w:t>31200.00元</w:t>
                  </w:r>
                </w:p>
                <w:p>
                  <w:pPr>
                    <w:pStyle w:val="null3"/>
                    <w:jc w:val="center"/>
                  </w:pPr>
                  <w:r>
                    <w:rPr>
                      <w:rFonts w:ascii="仿宋_GB2312" w:hAnsi="仿宋_GB2312" w:cs="仿宋_GB2312" w:eastAsia="仿宋_GB2312"/>
                    </w:rPr>
                    <w:t>备注：根据“单趟往返报价*60趟（预估）”计算</w:t>
                  </w:r>
                </w:p>
              </w:tc>
            </w:tr>
            <w:tr>
              <w:tc>
                <w:tcPr>
                  <w:tcW w:type="dxa" w:w="365"/>
                </w:tcPr>
                <w:p>
                  <w:pPr>
                    <w:pStyle w:val="null3"/>
                    <w:jc w:val="center"/>
                  </w:pPr>
                  <w:r>
                    <w:rPr>
                      <w:rFonts w:ascii="仿宋_GB2312" w:hAnsi="仿宋_GB2312" w:cs="仿宋_GB2312" w:eastAsia="仿宋_GB2312"/>
                    </w:rPr>
                    <w:t>4</w:t>
                  </w:r>
                </w:p>
              </w:tc>
              <w:tc>
                <w:tcPr>
                  <w:tcW w:type="dxa" w:w="365"/>
                </w:tcPr>
                <w:p>
                  <w:pPr>
                    <w:pStyle w:val="null3"/>
                    <w:jc w:val="center"/>
                  </w:pPr>
                  <w:r>
                    <w:rPr>
                      <w:rFonts w:ascii="仿宋_GB2312" w:hAnsi="仿宋_GB2312" w:cs="仿宋_GB2312" w:eastAsia="仿宋_GB2312"/>
                    </w:rPr>
                    <w:t>重大活动</w:t>
                  </w:r>
                </w:p>
                <w:p>
                  <w:pPr>
                    <w:pStyle w:val="null3"/>
                    <w:jc w:val="center"/>
                  </w:pPr>
                  <w:r>
                    <w:rPr>
                      <w:rFonts w:ascii="仿宋_GB2312" w:hAnsi="仿宋_GB2312" w:cs="仿宋_GB2312" w:eastAsia="仿宋_GB2312"/>
                    </w:rPr>
                    <w:t>专项保障用车</w:t>
                  </w:r>
                </w:p>
              </w:tc>
              <w:tc>
                <w:tcPr>
                  <w:tcW w:type="dxa" w:w="365"/>
                </w:tcPr>
                <w:p>
                  <w:pPr>
                    <w:pStyle w:val="null3"/>
                    <w:jc w:val="center"/>
                  </w:pPr>
                  <w:r>
                    <w:rPr>
                      <w:rFonts w:ascii="仿宋_GB2312" w:hAnsi="仿宋_GB2312" w:cs="仿宋_GB2312" w:eastAsia="仿宋_GB2312"/>
                    </w:rPr>
                    <w:t>雁塔校区--市内</w:t>
                  </w:r>
                </w:p>
              </w:tc>
              <w:tc>
                <w:tcPr>
                  <w:tcW w:type="dxa" w:w="365"/>
                  <w:vMerge/>
                </w:tcPr>
                <w:p/>
              </w:tc>
              <w:tc>
                <w:tcPr>
                  <w:tcW w:type="dxa" w:w="365"/>
                </w:tcPr>
                <w:p>
                  <w:pPr>
                    <w:pStyle w:val="null3"/>
                    <w:jc w:val="center"/>
                  </w:pPr>
                  <w:r>
                    <w:rPr>
                      <w:rFonts w:ascii="仿宋_GB2312" w:hAnsi="仿宋_GB2312" w:cs="仿宋_GB2312" w:eastAsia="仿宋_GB2312"/>
                    </w:rPr>
                    <w:t>往返</w:t>
                  </w:r>
                </w:p>
                <w:p>
                  <w:pPr>
                    <w:pStyle w:val="null3"/>
                    <w:jc w:val="center"/>
                  </w:pPr>
                  <w:r>
                    <w:rPr>
                      <w:rFonts w:ascii="仿宋_GB2312" w:hAnsi="仿宋_GB2312" w:cs="仿宋_GB2312" w:eastAsia="仿宋_GB2312"/>
                    </w:rPr>
                    <w:t>趟数约200趟</w:t>
                  </w:r>
                </w:p>
              </w:tc>
              <w:tc>
                <w:tcPr>
                  <w:tcW w:type="dxa" w:w="365"/>
                </w:tcPr>
                <w:p>
                  <w:pPr>
                    <w:pStyle w:val="null3"/>
                    <w:jc w:val="center"/>
                  </w:pPr>
                  <w:r>
                    <w:rPr>
                      <w:rFonts w:ascii="仿宋_GB2312" w:hAnsi="仿宋_GB2312" w:cs="仿宋_GB2312" w:eastAsia="仿宋_GB2312"/>
                    </w:rPr>
                    <w:t>单趟往返:850.00</w:t>
                  </w:r>
                </w:p>
              </w:tc>
              <w:tc>
                <w:tcPr>
                  <w:tcW w:type="dxa" w:w="365"/>
                </w:tcPr>
                <w:p>
                  <w:pPr>
                    <w:pStyle w:val="null3"/>
                    <w:jc w:val="center"/>
                  </w:pPr>
                  <w:r>
                    <w:rPr>
                      <w:rFonts w:ascii="仿宋_GB2312" w:hAnsi="仿宋_GB2312" w:cs="仿宋_GB2312" w:eastAsia="仿宋_GB2312"/>
                    </w:rPr>
                    <w:t>170000.00</w:t>
                  </w:r>
                </w:p>
                <w:p>
                  <w:pPr>
                    <w:pStyle w:val="null3"/>
                    <w:jc w:val="center"/>
                  </w:pPr>
                  <w:r>
                    <w:rPr>
                      <w:rFonts w:ascii="仿宋_GB2312" w:hAnsi="仿宋_GB2312" w:cs="仿宋_GB2312" w:eastAsia="仿宋_GB2312"/>
                    </w:rPr>
                    <w:t>备注：根据“单趟往返报价*200趟（预估）”计算</w:t>
                  </w:r>
                </w:p>
              </w:tc>
            </w:tr>
            <w:tr>
              <w:tc>
                <w:tcPr>
                  <w:tcW w:type="dxa" w:w="2190"/>
                  <w:gridSpan w:val="6"/>
                </w:tcPr>
                <w:p>
                  <w:pPr>
                    <w:pStyle w:val="null3"/>
                    <w:jc w:val="center"/>
                  </w:pPr>
                  <w:r>
                    <w:rPr>
                      <w:rFonts w:ascii="仿宋_GB2312" w:hAnsi="仿宋_GB2312" w:cs="仿宋_GB2312" w:eastAsia="仿宋_GB2312"/>
                    </w:rPr>
                    <w:t>总计（以上四项）限价合计金额</w:t>
                  </w:r>
                </w:p>
              </w:tc>
              <w:tc>
                <w:tcPr>
                  <w:tcW w:type="dxa" w:w="365"/>
                </w:tcPr>
                <w:p>
                  <w:pPr>
                    <w:pStyle w:val="null3"/>
                    <w:jc w:val="center"/>
                  </w:pPr>
                  <w:r>
                    <w:rPr>
                      <w:rFonts w:ascii="仿宋_GB2312" w:hAnsi="仿宋_GB2312" w:cs="仿宋_GB2312" w:eastAsia="仿宋_GB2312"/>
                    </w:rPr>
                    <w:t>大写：壹佰柒拾伍万贰仟伍佰柒拾伍元整</w:t>
                  </w:r>
                </w:p>
                <w:p>
                  <w:pPr>
                    <w:pStyle w:val="null3"/>
                    <w:jc w:val="center"/>
                  </w:pPr>
                  <w:r>
                    <w:rPr>
                      <w:rFonts w:ascii="仿宋_GB2312" w:hAnsi="仿宋_GB2312" w:cs="仿宋_GB2312" w:eastAsia="仿宋_GB2312"/>
                    </w:rPr>
                    <w:t>小写：￥1752575.00</w:t>
                  </w:r>
                </w:p>
              </w:tc>
            </w:tr>
          </w:tbl>
          <w:p>
            <w:pPr>
              <w:pStyle w:val="null3"/>
            </w:pPr>
            <w:r>
              <w:rPr>
                <w:rFonts w:ascii="仿宋_GB2312" w:hAnsi="仿宋_GB2312" w:cs="仿宋_GB2312" w:eastAsia="仿宋_GB2312"/>
              </w:rPr>
              <w:t>（二）现阶段发车时刻要求及通勤班车行驶路线要求</w:t>
            </w:r>
          </w:p>
          <w:p>
            <w:pPr>
              <w:pStyle w:val="null3"/>
            </w:pPr>
            <w:r>
              <w:rPr>
                <w:rFonts w:ascii="仿宋_GB2312" w:hAnsi="仿宋_GB2312" w:cs="仿宋_GB2312" w:eastAsia="仿宋_GB2312"/>
              </w:rPr>
              <w:t>1.现阶段发车时刻及要求</w:t>
            </w:r>
          </w:p>
          <w:p>
            <w:pPr>
              <w:pStyle w:val="null3"/>
            </w:pPr>
            <w:r>
              <w:rPr>
                <w:rFonts w:ascii="仿宋_GB2312" w:hAnsi="仿宋_GB2312" w:cs="仿宋_GB2312" w:eastAsia="仿宋_GB2312"/>
              </w:rPr>
              <w:t>现阶段通勤外租车辆为工作日每日4辆核载49人车辆，具体每辆车发车时刻为：</w:t>
            </w:r>
          </w:p>
          <w:p>
            <w:pPr>
              <w:pStyle w:val="null3"/>
            </w:pPr>
            <w:r>
              <w:rPr>
                <w:rFonts w:ascii="仿宋_GB2312" w:hAnsi="仿宋_GB2312" w:cs="仿宋_GB2312" w:eastAsia="仿宋_GB2312"/>
              </w:rPr>
              <w:t>（1）车辆一：7:00雁塔校区---草堂校区10:20返回，12:30雁塔校区---草堂校区15:50返回；</w:t>
            </w:r>
          </w:p>
          <w:p>
            <w:pPr>
              <w:pStyle w:val="null3"/>
            </w:pPr>
            <w:r>
              <w:rPr>
                <w:rFonts w:ascii="仿宋_GB2312" w:hAnsi="仿宋_GB2312" w:cs="仿宋_GB2312" w:eastAsia="仿宋_GB2312"/>
              </w:rPr>
              <w:t>（2）车辆二：7:00雁塔校区---草堂校区8：30返回，10:30雁塔校区---草堂校区17:00返回；</w:t>
            </w:r>
          </w:p>
          <w:p>
            <w:pPr>
              <w:pStyle w:val="null3"/>
            </w:pPr>
            <w:r>
              <w:rPr>
                <w:rFonts w:ascii="仿宋_GB2312" w:hAnsi="仿宋_GB2312" w:cs="仿宋_GB2312" w:eastAsia="仿宋_GB2312"/>
              </w:rPr>
              <w:t>（3）车辆三：7:00雁塔校区---草堂校区12:15返回，14:15雁塔校区---草堂校区17:40返回；</w:t>
            </w:r>
          </w:p>
          <w:p>
            <w:pPr>
              <w:pStyle w:val="null3"/>
            </w:pPr>
            <w:r>
              <w:rPr>
                <w:rFonts w:ascii="仿宋_GB2312" w:hAnsi="仿宋_GB2312" w:cs="仿宋_GB2312" w:eastAsia="仿宋_GB2312"/>
              </w:rPr>
              <w:t>（4）车辆四：7:00雁塔校区---草堂校区13:10返回，16:00雁塔校区---草堂校区17:40返回。</w:t>
            </w:r>
          </w:p>
          <w:p>
            <w:pPr>
              <w:pStyle w:val="null3"/>
            </w:pPr>
            <w:r>
              <w:rPr>
                <w:rFonts w:ascii="仿宋_GB2312" w:hAnsi="仿宋_GB2312" w:cs="仿宋_GB2312" w:eastAsia="仿宋_GB2312"/>
              </w:rPr>
              <w:t>备注：上述中往返数仅为预估数，最终费用根据实际运行往返数进行核算，上述工作日安排仅为当前运行，仅供参考，后续根据学校运行实际，工作日及周末、节假日车辆数量及运行时刻做适当调整。</w:t>
            </w:r>
          </w:p>
          <w:p>
            <w:pPr>
              <w:pStyle w:val="null3"/>
            </w:pPr>
            <w:r>
              <w:rPr>
                <w:rFonts w:ascii="仿宋_GB2312" w:hAnsi="仿宋_GB2312" w:cs="仿宋_GB2312" w:eastAsia="仿宋_GB2312"/>
              </w:rPr>
              <w:t>2.通勤班车行驶路线及要求</w:t>
            </w:r>
          </w:p>
          <w:p>
            <w:pPr>
              <w:pStyle w:val="null3"/>
            </w:pPr>
            <w:r>
              <w:rPr>
                <w:rFonts w:ascii="仿宋_GB2312" w:hAnsi="仿宋_GB2312" w:cs="仿宋_GB2312" w:eastAsia="仿宋_GB2312"/>
              </w:rPr>
              <w:t>（1）雁塔校区---华美十字---长安区---环山路抵达草堂校区。</w:t>
            </w:r>
          </w:p>
          <w:p>
            <w:pPr>
              <w:pStyle w:val="null3"/>
            </w:pPr>
            <w:r>
              <w:rPr>
                <w:rFonts w:ascii="仿宋_GB2312" w:hAnsi="仿宋_GB2312" w:cs="仿宋_GB2312" w:eastAsia="仿宋_GB2312"/>
              </w:rPr>
              <w:t>（2）同一时刻发多辆通勤班车时，在保留途径华美十字一辆之外，其余车辆均高速行驶，高速行驶路线：雁塔校区---曲江高速口上---西沣高速出口下---环山路---草堂校区。</w:t>
            </w:r>
          </w:p>
          <w:p>
            <w:pPr>
              <w:pStyle w:val="null3"/>
            </w:pPr>
            <w:r>
              <w:rPr>
                <w:rFonts w:ascii="仿宋_GB2312" w:hAnsi="仿宋_GB2312" w:cs="仿宋_GB2312" w:eastAsia="仿宋_GB2312"/>
              </w:rPr>
              <w:t>（3）行车路线在遇交通堵塞、高速封路、突发天气等情况时会发生改变。</w:t>
            </w:r>
          </w:p>
          <w:p>
            <w:pPr>
              <w:pStyle w:val="null3"/>
            </w:pPr>
            <w:r>
              <w:rPr>
                <w:rFonts w:ascii="仿宋_GB2312" w:hAnsi="仿宋_GB2312" w:cs="仿宋_GB2312" w:eastAsia="仿宋_GB2312"/>
              </w:rPr>
              <w:t>（三）西安建筑科技大学迎新接站和重大活动专项保障车辆要求</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车辆用途</w:t>
                  </w:r>
                </w:p>
              </w:tc>
              <w:tc>
                <w:tcPr>
                  <w:tcW w:type="dxa" w:w="511"/>
                </w:tcPr>
                <w:p>
                  <w:pPr>
                    <w:pStyle w:val="null3"/>
                    <w:jc w:val="center"/>
                  </w:pPr>
                  <w:r>
                    <w:rPr>
                      <w:rFonts w:ascii="仿宋_GB2312" w:hAnsi="仿宋_GB2312" w:cs="仿宋_GB2312" w:eastAsia="仿宋_GB2312"/>
                    </w:rPr>
                    <w:t>路线</w:t>
                  </w:r>
                </w:p>
              </w:tc>
              <w:tc>
                <w:tcPr>
                  <w:tcW w:type="dxa" w:w="511"/>
                </w:tcPr>
                <w:p>
                  <w:pPr>
                    <w:pStyle w:val="null3"/>
                    <w:jc w:val="center"/>
                  </w:pPr>
                  <w:r>
                    <w:rPr>
                      <w:rFonts w:ascii="仿宋_GB2312" w:hAnsi="仿宋_GB2312" w:cs="仿宋_GB2312" w:eastAsia="仿宋_GB2312"/>
                    </w:rPr>
                    <w:t>发车时间</w:t>
                  </w:r>
                </w:p>
              </w:tc>
              <w:tc>
                <w:tcPr>
                  <w:tcW w:type="dxa" w:w="511"/>
                </w:tcPr>
                <w:p>
                  <w:pPr>
                    <w:pStyle w:val="null3"/>
                    <w:jc w:val="center"/>
                  </w:pPr>
                  <w:r>
                    <w:rPr>
                      <w:rFonts w:ascii="仿宋_GB2312" w:hAnsi="仿宋_GB2312" w:cs="仿宋_GB2312" w:eastAsia="仿宋_GB2312"/>
                    </w:rPr>
                    <w:t>往返趟</w:t>
                  </w:r>
                </w:p>
                <w:p>
                  <w:pPr>
                    <w:pStyle w:val="null3"/>
                    <w:jc w:val="center"/>
                  </w:pPr>
                  <w:r>
                    <w:rPr>
                      <w:rFonts w:ascii="仿宋_GB2312" w:hAnsi="仿宋_GB2312" w:cs="仿宋_GB2312" w:eastAsia="仿宋_GB2312"/>
                    </w:rPr>
                    <w:t>（预估）</w:t>
                  </w:r>
                </w:p>
              </w:tc>
              <w:tc>
                <w:tcPr>
                  <w:tcW w:type="dxa" w:w="511"/>
                </w:tcPr>
                <w:p>
                  <w:pPr>
                    <w:pStyle w:val="null3"/>
                    <w:jc w:val="center"/>
                  </w:pPr>
                  <w:r>
                    <w:rPr>
                      <w:rFonts w:ascii="仿宋_GB2312" w:hAnsi="仿宋_GB2312" w:cs="仿宋_GB2312" w:eastAsia="仿宋_GB2312"/>
                    </w:rPr>
                    <w:t>车型要求</w:t>
                  </w:r>
                </w:p>
              </w:tc>
            </w:tr>
            <w:tr>
              <w:tc>
                <w:tcPr>
                  <w:tcW w:type="dxa" w:w="511"/>
                </w:tcPr>
                <w:p>
                  <w:pPr>
                    <w:pStyle w:val="null3"/>
                    <w:jc w:val="center"/>
                  </w:pPr>
                  <w:r>
                    <w:rPr>
                      <w:rFonts w:ascii="仿宋_GB2312" w:hAnsi="仿宋_GB2312" w:cs="仿宋_GB2312" w:eastAsia="仿宋_GB2312"/>
                    </w:rPr>
                    <w:t>迎新接站</w:t>
                  </w:r>
                </w:p>
              </w:tc>
              <w:tc>
                <w:tcPr>
                  <w:tcW w:type="dxa" w:w="511"/>
                </w:tcPr>
                <w:p>
                  <w:pPr>
                    <w:pStyle w:val="null3"/>
                    <w:jc w:val="center"/>
                  </w:pPr>
                  <w:r>
                    <w:rPr>
                      <w:rFonts w:ascii="仿宋_GB2312" w:hAnsi="仿宋_GB2312" w:cs="仿宋_GB2312" w:eastAsia="仿宋_GB2312"/>
                    </w:rPr>
                    <w:t>雁塔校区及西安火车站-草堂校区（往返）</w:t>
                  </w:r>
                </w:p>
              </w:tc>
              <w:tc>
                <w:tcPr>
                  <w:tcW w:type="dxa" w:w="511"/>
                  <w:vMerge w:val="restart"/>
                </w:tcPr>
                <w:p>
                  <w:pPr>
                    <w:pStyle w:val="null3"/>
                    <w:jc w:val="center"/>
                  </w:pPr>
                  <w:r>
                    <w:rPr>
                      <w:rFonts w:ascii="仿宋_GB2312" w:hAnsi="仿宋_GB2312" w:cs="仿宋_GB2312" w:eastAsia="仿宋_GB2312"/>
                    </w:rPr>
                    <w:t>具体以采购人实际要求为准</w:t>
                  </w:r>
                </w:p>
              </w:tc>
              <w:tc>
                <w:tcPr>
                  <w:tcW w:type="dxa" w:w="511"/>
                </w:tcPr>
                <w:p>
                  <w:pPr>
                    <w:pStyle w:val="null3"/>
                    <w:jc w:val="center"/>
                  </w:pPr>
                  <w:r>
                    <w:rPr>
                      <w:rFonts w:ascii="仿宋_GB2312" w:hAnsi="仿宋_GB2312" w:cs="仿宋_GB2312" w:eastAsia="仿宋_GB2312"/>
                    </w:rPr>
                    <w:t>60</w:t>
                  </w:r>
                </w:p>
              </w:tc>
              <w:tc>
                <w:tcPr>
                  <w:tcW w:type="dxa" w:w="511"/>
                </w:tcPr>
                <w:p>
                  <w:pPr>
                    <w:pStyle w:val="null3"/>
                    <w:jc w:val="center"/>
                  </w:pPr>
                  <w:r>
                    <w:rPr>
                      <w:rFonts w:ascii="仿宋_GB2312" w:hAnsi="仿宋_GB2312" w:cs="仿宋_GB2312" w:eastAsia="仿宋_GB2312"/>
                    </w:rPr>
                    <w:t>车型：核载49人，或不低于该规格客车。</w:t>
                  </w:r>
                </w:p>
              </w:tc>
            </w:tr>
            <w:tr>
              <w:tc>
                <w:tcPr>
                  <w:tcW w:type="dxa" w:w="511"/>
                </w:tcPr>
                <w:p>
                  <w:pPr>
                    <w:pStyle w:val="null3"/>
                    <w:jc w:val="center"/>
                  </w:pPr>
                  <w:r>
                    <w:rPr>
                      <w:rFonts w:ascii="仿宋_GB2312" w:hAnsi="仿宋_GB2312" w:cs="仿宋_GB2312" w:eastAsia="仿宋_GB2312"/>
                    </w:rPr>
                    <w:t>重大活动专项保障</w:t>
                  </w:r>
                </w:p>
              </w:tc>
              <w:tc>
                <w:tcPr>
                  <w:tcW w:type="dxa" w:w="511"/>
                </w:tcPr>
                <w:p>
                  <w:pPr>
                    <w:pStyle w:val="null3"/>
                    <w:jc w:val="center"/>
                  </w:pPr>
                  <w:r>
                    <w:rPr>
                      <w:rFonts w:ascii="仿宋_GB2312" w:hAnsi="仿宋_GB2312" w:cs="仿宋_GB2312" w:eastAsia="仿宋_GB2312"/>
                    </w:rPr>
                    <w:t>雁塔校区-草堂校区、              市内（往返）</w:t>
                  </w:r>
                </w:p>
              </w:tc>
              <w:tc>
                <w:tcPr>
                  <w:tcW w:type="dxa" w:w="511"/>
                  <w:vMerge/>
                </w:tcPr>
                <w:p/>
              </w:tc>
              <w:tc>
                <w:tcPr>
                  <w:tcW w:type="dxa" w:w="511"/>
                </w:tcPr>
                <w:p>
                  <w:pPr>
                    <w:pStyle w:val="null3"/>
                    <w:jc w:val="center"/>
                  </w:pPr>
                  <w:r>
                    <w:rPr>
                      <w:rFonts w:ascii="仿宋_GB2312" w:hAnsi="仿宋_GB2312" w:cs="仿宋_GB2312" w:eastAsia="仿宋_GB2312"/>
                    </w:rPr>
                    <w:t>200</w:t>
                  </w:r>
                </w:p>
              </w:tc>
              <w:tc>
                <w:tcPr>
                  <w:tcW w:type="dxa" w:w="511"/>
                </w:tcPr>
                <w:p>
                  <w:pPr>
                    <w:pStyle w:val="null3"/>
                    <w:jc w:val="center"/>
                  </w:pPr>
                  <w:r>
                    <w:rPr>
                      <w:rFonts w:ascii="仿宋_GB2312" w:hAnsi="仿宋_GB2312" w:cs="仿宋_GB2312" w:eastAsia="仿宋_GB2312"/>
                    </w:rPr>
                    <w:t>车型：核载49人，或不低于该规格客车。</w:t>
                  </w:r>
                </w:p>
              </w:tc>
            </w:tr>
          </w:tbl>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1.上表中往返数为预估数，最终费用根据实际运行往返数进行核算。</w:t>
            </w:r>
          </w:p>
          <w:p>
            <w:pPr>
              <w:pStyle w:val="null3"/>
            </w:pPr>
            <w:r>
              <w:rPr>
                <w:rFonts w:ascii="仿宋_GB2312" w:hAnsi="仿宋_GB2312" w:cs="仿宋_GB2312" w:eastAsia="仿宋_GB2312"/>
              </w:rPr>
              <w:t>2.新生接站在预计在每年9月初进行，时间约为2天。</w:t>
            </w:r>
          </w:p>
          <w:p>
            <w:pPr>
              <w:pStyle w:val="null3"/>
            </w:pPr>
            <w:r>
              <w:rPr>
                <w:rFonts w:ascii="仿宋_GB2312" w:hAnsi="仿宋_GB2312" w:cs="仿宋_GB2312" w:eastAsia="仿宋_GB2312"/>
              </w:rPr>
              <w:t>3.上表中迎新接站和重大活动专项保障用车，用车一次性数量集中，时间紧急，用车随机性强，供应商应具备车辆使用运行保障能力。</w:t>
            </w:r>
          </w:p>
          <w:p>
            <w:pPr>
              <w:pStyle w:val="null3"/>
            </w:pPr>
            <w:r>
              <w:rPr>
                <w:rFonts w:ascii="仿宋_GB2312" w:hAnsi="仿宋_GB2312" w:cs="仿宋_GB2312" w:eastAsia="仿宋_GB2312"/>
              </w:rPr>
              <w:t>（四）运营车辆配置及要求</w:t>
            </w:r>
          </w:p>
          <w:p>
            <w:pPr>
              <w:pStyle w:val="null3"/>
            </w:pPr>
            <w:r>
              <w:rPr>
                <w:rFonts w:ascii="仿宋_GB2312" w:hAnsi="仿宋_GB2312" w:cs="仿宋_GB2312" w:eastAsia="仿宋_GB2312"/>
              </w:rPr>
              <w:t>1.供应商运营的车辆须符合国家排放标准；全封闭空调客车，保证车辆的各项技术性能处于良好状态。</w:t>
            </w:r>
          </w:p>
          <w:p>
            <w:pPr>
              <w:pStyle w:val="null3"/>
            </w:pPr>
            <w:r>
              <w:rPr>
                <w:rFonts w:ascii="仿宋_GB2312" w:hAnsi="仿宋_GB2312" w:cs="仿宋_GB2312" w:eastAsia="仿宋_GB2312"/>
              </w:rPr>
              <w:t>2.供应商运营的车辆座椅应具备可调节功能，前后距离宽敞舒适。</w:t>
            </w:r>
          </w:p>
          <w:p>
            <w:pPr>
              <w:pStyle w:val="null3"/>
            </w:pPr>
            <w:r>
              <w:rPr>
                <w:rFonts w:ascii="仿宋_GB2312" w:hAnsi="仿宋_GB2312" w:cs="仿宋_GB2312" w:eastAsia="仿宋_GB2312"/>
              </w:rPr>
              <w:t>3.供应商运营的车辆车辆要求配备视频监控设施及卫星定位系统。</w:t>
            </w:r>
          </w:p>
          <w:p>
            <w:pPr>
              <w:pStyle w:val="null3"/>
            </w:pPr>
            <w:r>
              <w:rPr>
                <w:rFonts w:ascii="仿宋_GB2312" w:hAnsi="仿宋_GB2312" w:cs="仿宋_GB2312" w:eastAsia="仿宋_GB2312"/>
              </w:rPr>
              <w:t>4.供应商运营的车辆应配置行车记录仪。</w:t>
            </w:r>
          </w:p>
          <w:p>
            <w:pPr>
              <w:pStyle w:val="null3"/>
            </w:pPr>
            <w:r>
              <w:rPr>
                <w:rFonts w:ascii="仿宋_GB2312" w:hAnsi="仿宋_GB2312" w:cs="仿宋_GB2312" w:eastAsia="仿宋_GB2312"/>
              </w:rPr>
              <w:t>5.供应商运营的车辆应配备多媒体系统、对讲系统等功能。</w:t>
            </w:r>
          </w:p>
          <w:p>
            <w:pPr>
              <w:pStyle w:val="null3"/>
            </w:pPr>
            <w:r>
              <w:rPr>
                <w:rFonts w:ascii="仿宋_GB2312" w:hAnsi="仿宋_GB2312" w:cs="仿宋_GB2312" w:eastAsia="仿宋_GB2312"/>
              </w:rPr>
              <w:t>6.供应商车辆安全要求：所用车辆必须配有安全锤、灭火器等消防设备，同时定期对紧急逃生门、逃生窗进行检查，保证能够正常使用。所有消防设备及逃生设备需要有明显标识，易看易懂，不得遮挡。</w:t>
            </w:r>
          </w:p>
          <w:p>
            <w:pPr>
              <w:pStyle w:val="null3"/>
            </w:pPr>
            <w:r>
              <w:rPr>
                <w:rFonts w:ascii="仿宋_GB2312" w:hAnsi="仿宋_GB2312" w:cs="仿宋_GB2312" w:eastAsia="仿宋_GB2312"/>
              </w:rPr>
              <w:t>7.供应商应拥有符合国家道路运输管理要求的自有产权营运车辆（行驶证单位与供应商名称一致）数量在40辆以上，且每辆车必须有“道路营运证”，能及时有效保障学校临时突发用车需求。</w:t>
            </w:r>
          </w:p>
          <w:p>
            <w:pPr>
              <w:pStyle w:val="null3"/>
            </w:pPr>
            <w:r>
              <w:rPr>
                <w:rFonts w:ascii="仿宋_GB2312" w:hAnsi="仿宋_GB2312" w:cs="仿宋_GB2312" w:eastAsia="仿宋_GB2312"/>
              </w:rPr>
              <w:t>8.供应商应提供符合国家道路运输管理要求的自有产权车辆投入作为通勤班车使用。车辆座位数应≥49座，证照齐全，车况符合国家客（营）运车辆标准，整体车况良好（供应商应提供车辆保养维修记录以及保险理赔记录）。车辆保险齐全（包括交强险、第三者责任险及承运人责任险），车内乘客险每座赔付金额≥人民币50万元。</w:t>
            </w:r>
          </w:p>
          <w:p>
            <w:pPr>
              <w:pStyle w:val="null3"/>
            </w:pPr>
            <w:r>
              <w:rPr>
                <w:rFonts w:ascii="仿宋_GB2312" w:hAnsi="仿宋_GB2312" w:cs="仿宋_GB2312" w:eastAsia="仿宋_GB2312"/>
              </w:rPr>
              <w:t>9.供应商应配备至少1名固定车辆调度管理员，该管理员要求具备高校通勤车调度管理经验，主要配合采购人完成对车辆调度和现场管理工作。</w:t>
            </w:r>
          </w:p>
          <w:p>
            <w:pPr>
              <w:pStyle w:val="null3"/>
            </w:pPr>
            <w:r>
              <w:rPr>
                <w:rFonts w:ascii="仿宋_GB2312" w:hAnsi="仿宋_GB2312" w:cs="仿宋_GB2312" w:eastAsia="仿宋_GB2312"/>
              </w:rPr>
              <w:t>10.供应商应提供与驾驶员签订的有效劳动合同，并提供自2024年1月1日以来不少于6个月缴纳社会保障的证明材料。</w:t>
            </w:r>
          </w:p>
          <w:p>
            <w:pPr>
              <w:pStyle w:val="null3"/>
            </w:pPr>
            <w:r>
              <w:rPr>
                <w:rFonts w:ascii="仿宋_GB2312" w:hAnsi="仿宋_GB2312" w:cs="仿宋_GB2312" w:eastAsia="仿宋_GB2312"/>
              </w:rPr>
              <w:t>11.供应商提供服务的车辆技术状况必须良好，保证办理好该车正常行驶所需的各种证件及规定缴费证齐全，车上配备灭火器及警示性标志牌。车厢内外需整洁卫生、车窗明亮，且应做到每日清洁；定期对车厢进行消毒，喷洒空气清新剂；每个座椅必须配备便于拆洗方便的座套或皮质座椅，每月更换一次，保持洁净；车厢内应配备小药箱。</w:t>
            </w:r>
          </w:p>
          <w:p>
            <w:pPr>
              <w:pStyle w:val="null3"/>
            </w:pPr>
            <w:r>
              <w:rPr>
                <w:rFonts w:ascii="仿宋_GB2312" w:hAnsi="仿宋_GB2312" w:cs="仿宋_GB2312" w:eastAsia="仿宋_GB2312"/>
              </w:rPr>
              <w:t>12.供应商应按照核定线路运行，按照规定站点停靠，按规定的时间地点备车和发车，不绕道行驶、兜圈，不无故在途中更换车辆。</w:t>
            </w:r>
          </w:p>
          <w:p>
            <w:pPr>
              <w:pStyle w:val="null3"/>
            </w:pPr>
            <w:r>
              <w:rPr>
                <w:rFonts w:ascii="仿宋_GB2312" w:hAnsi="仿宋_GB2312" w:cs="仿宋_GB2312" w:eastAsia="仿宋_GB2312"/>
              </w:rPr>
              <w:t>13.供应商服务保障时，车辆做到准时到达接送地点，并确保车容整洁，车质车况良好；司乘人员待客文明礼貌，协助采购人落实租用车辆的各项计划，保证正常用车。</w:t>
            </w:r>
          </w:p>
          <w:p>
            <w:pPr>
              <w:pStyle w:val="null3"/>
            </w:pPr>
            <w:r>
              <w:rPr>
                <w:rFonts w:ascii="仿宋_GB2312" w:hAnsi="仿宋_GB2312" w:cs="仿宋_GB2312" w:eastAsia="仿宋_GB2312"/>
              </w:rPr>
              <w:t>14.供应商如遇车辆中途出现故障，不能及时修复，应马上另派车辆接送职工，并不得额外加收费用。</w:t>
            </w:r>
          </w:p>
          <w:p>
            <w:pPr>
              <w:pStyle w:val="null3"/>
            </w:pPr>
            <w:r>
              <w:rPr>
                <w:rFonts w:ascii="仿宋_GB2312" w:hAnsi="仿宋_GB2312" w:cs="仿宋_GB2312" w:eastAsia="仿宋_GB2312"/>
              </w:rPr>
              <w:t>15.在服务保障期间，行车载客必须遵守交通依法行驶规则，如造成交通事故或乘客损害，要服从交警的现场指挥，并负责处理事故的相关事宜。</w:t>
            </w:r>
          </w:p>
          <w:p>
            <w:pPr>
              <w:pStyle w:val="null3"/>
            </w:pPr>
            <w:r>
              <w:rPr>
                <w:rFonts w:ascii="仿宋_GB2312" w:hAnsi="仿宋_GB2312" w:cs="仿宋_GB2312" w:eastAsia="仿宋_GB2312"/>
              </w:rPr>
              <w:t>16.供应商须按采购人要求的时间至少提前30分钟以上到达指定地点载客（不可抗拒因素除外，双方可协商解决），如通勤班车超时（10分钟以上）未到达指定地点的，采购人可要求供应商作出相应赔偿：减去当日当次班车租金及支付采购人因当日当次班车误时而另乘其它交通工具费用（凭有效单据）。</w:t>
            </w:r>
          </w:p>
          <w:p>
            <w:pPr>
              <w:pStyle w:val="null3"/>
            </w:pPr>
            <w:r>
              <w:rPr>
                <w:rFonts w:ascii="仿宋_GB2312" w:hAnsi="仿宋_GB2312" w:cs="仿宋_GB2312" w:eastAsia="仿宋_GB2312"/>
              </w:rPr>
              <w:t>17.供应商须按采购人预先确定的行车路线并按采购人商议的站点沿途上落站，相对固定车辆、固定驾驶员。一旦车辆发生故障，供应商要尽快调派车辆（含驾驶员）确保采购人职工到达终点，如在30分钟内未能调派车辆将由供应商报销采购人另行租车的费用。（提供承诺书并加盖单位公章）</w:t>
            </w:r>
          </w:p>
          <w:p>
            <w:pPr>
              <w:pStyle w:val="null3"/>
            </w:pPr>
            <w:r>
              <w:rPr>
                <w:rFonts w:ascii="仿宋_GB2312" w:hAnsi="仿宋_GB2312" w:cs="仿宋_GB2312" w:eastAsia="仿宋_GB2312"/>
              </w:rPr>
              <w:t>18.供应商保证所有营运车辆车况良好和准时出车，确保车辆正常营运。行车载客时必须遵守交通规则，合理操作确保采购人乘客乘车及上下安全，如因违章行车或供应商驾驶员操作不合理发生交通事故而造成乘客及学校损失的，按国家《道路交通事故处理方法》的有关规定，一切费用由供应商负责赔偿。</w:t>
            </w:r>
          </w:p>
          <w:p>
            <w:pPr>
              <w:pStyle w:val="null3"/>
            </w:pPr>
            <w:r>
              <w:rPr>
                <w:rFonts w:ascii="仿宋_GB2312" w:hAnsi="仿宋_GB2312" w:cs="仿宋_GB2312" w:eastAsia="仿宋_GB2312"/>
              </w:rPr>
              <w:t>19.供应商自行承担服务车辆的油料费、维修费、路桥费以及人员（含驾驶员）工资、保险等一切费用。</w:t>
            </w:r>
          </w:p>
          <w:p>
            <w:pPr>
              <w:pStyle w:val="null3"/>
            </w:pPr>
            <w:r>
              <w:rPr>
                <w:rFonts w:ascii="仿宋_GB2312" w:hAnsi="仿宋_GB2312" w:cs="仿宋_GB2312" w:eastAsia="仿宋_GB2312"/>
              </w:rPr>
              <w:t>20.供应商提供服务的车辆必须是状况良好，设备齐全，具备有效的道路运输营运证、行驶证等；供应商提供的资料应保证真实有效，否则就此产生的责任均由供应商承担。</w:t>
            </w:r>
          </w:p>
          <w:p>
            <w:pPr>
              <w:pStyle w:val="null3"/>
            </w:pPr>
            <w:r>
              <w:rPr>
                <w:rFonts w:ascii="仿宋_GB2312" w:hAnsi="仿宋_GB2312" w:cs="仿宋_GB2312" w:eastAsia="仿宋_GB2312"/>
              </w:rPr>
              <w:t>21.在服务期限内，供应商必须确保在约定的时间内提供足够同等条件的车辆及人员为采购人提供服务，供应商所提供的车辆需符合国家规定的安全环保等要求，车辆在使用期间如确需维修、保养，或季审、年审、接受定期检审及其它经采购人认可的合理因素而造成需要暂停运行时，供应商应调派同等条件的车辆和驾驶人员供采购人使用及服务。</w:t>
            </w:r>
          </w:p>
          <w:p>
            <w:pPr>
              <w:pStyle w:val="null3"/>
            </w:pPr>
            <w:r>
              <w:rPr>
                <w:rFonts w:ascii="仿宋_GB2312" w:hAnsi="仿宋_GB2312" w:cs="仿宋_GB2312" w:eastAsia="仿宋_GB2312"/>
              </w:rPr>
              <w:t>22.如因供应商原因，不能在约定的时间内提供服务的，采购人有权向供应商发出整改通知，违反三次以上的，有权终止供应商的服务资格。</w:t>
            </w:r>
          </w:p>
          <w:p>
            <w:pPr>
              <w:pStyle w:val="null3"/>
            </w:pPr>
            <w:r>
              <w:rPr>
                <w:rFonts w:ascii="仿宋_GB2312" w:hAnsi="仿宋_GB2312" w:cs="仿宋_GB2312" w:eastAsia="仿宋_GB2312"/>
              </w:rPr>
              <w:t>23.供应商应在响应文件中提供拟投入所有服务车辆的最新彩色照片及行驶证复印件（原件中标后备查），提供服务的车辆必须是核定有固定座位的车辆。</w:t>
            </w:r>
          </w:p>
          <w:p>
            <w:pPr>
              <w:pStyle w:val="null3"/>
            </w:pPr>
            <w:r>
              <w:rPr>
                <w:rFonts w:ascii="仿宋_GB2312" w:hAnsi="仿宋_GB2312" w:cs="仿宋_GB2312" w:eastAsia="仿宋_GB2312"/>
              </w:rPr>
              <w:t>24.车厢内在显著位置需张贴线路表、服务承诺，公布乘客投诉电话，设置禁烟标志。</w:t>
            </w:r>
          </w:p>
          <w:p>
            <w:pPr>
              <w:pStyle w:val="null3"/>
            </w:pPr>
            <w:r>
              <w:rPr>
                <w:rFonts w:ascii="仿宋_GB2312" w:hAnsi="仿宋_GB2312" w:cs="仿宋_GB2312" w:eastAsia="仿宋_GB2312"/>
              </w:rPr>
              <w:t>25.每次行程结束后均按规定做好消杀及防疫工作。</w:t>
            </w:r>
          </w:p>
          <w:p>
            <w:pPr>
              <w:pStyle w:val="null3"/>
            </w:pPr>
            <w:r>
              <w:rPr>
                <w:rFonts w:ascii="仿宋_GB2312" w:hAnsi="仿宋_GB2312" w:cs="仿宋_GB2312" w:eastAsia="仿宋_GB2312"/>
              </w:rPr>
              <w:t>26.供应商应认真执行“三检”（出车前、行驶中、收车后）制度，做好车辆例行保养工作，遵守交通法规，安全运行。</w:t>
            </w:r>
          </w:p>
          <w:p>
            <w:pPr>
              <w:pStyle w:val="null3"/>
            </w:pPr>
            <w:r>
              <w:rPr>
                <w:rFonts w:ascii="仿宋_GB2312" w:hAnsi="仿宋_GB2312" w:cs="仿宋_GB2312" w:eastAsia="仿宋_GB2312"/>
              </w:rPr>
              <w:t>27.供应商应按核定人数载人，严禁超员、严禁“三品”（易燃、易爆、危险品）上车。</w:t>
            </w:r>
          </w:p>
          <w:p>
            <w:pPr>
              <w:pStyle w:val="null3"/>
            </w:pPr>
            <w:r>
              <w:rPr>
                <w:rFonts w:ascii="仿宋_GB2312" w:hAnsi="仿宋_GB2312" w:cs="仿宋_GB2312" w:eastAsia="仿宋_GB2312"/>
              </w:rPr>
              <w:t>（六）运营保障人员要求</w:t>
            </w:r>
          </w:p>
          <w:p>
            <w:pPr>
              <w:pStyle w:val="null3"/>
            </w:pPr>
            <w:r>
              <w:rPr>
                <w:rFonts w:ascii="仿宋_GB2312" w:hAnsi="仿宋_GB2312" w:cs="仿宋_GB2312" w:eastAsia="仿宋_GB2312"/>
              </w:rPr>
              <w:t>1.供应商配备的所有随车驾驶员必须符合国家相关规定,所有证件齐全。驾驶员出车时着统一服装，衣着整齐干净，保持良好精神，遵守采购人规章制度，礼貌对待客人，保证按时到位，车容整洁，安全平稳行车，服从采购人的合理安排，并在主要行车线路上按采购人所要求上下车地点接送客人(违反交通规则的地点除外)，如有违反，采购人有权要求更换驾驶员。</w:t>
            </w:r>
          </w:p>
          <w:p>
            <w:pPr>
              <w:pStyle w:val="null3"/>
            </w:pPr>
            <w:r>
              <w:rPr>
                <w:rFonts w:ascii="仿宋_GB2312" w:hAnsi="仿宋_GB2312" w:cs="仿宋_GB2312" w:eastAsia="仿宋_GB2312"/>
              </w:rPr>
              <w:t>2.供应商配备的车辆驾驶员年龄应不超过55周岁,具有5年以上驾驶经验,且近3年内无重大交通事故责任记录，熟悉西安市道路,安全文明驾驶,并保持车辆清洁，需提供所有拟派驾驶员的驾驶证复印件（加盖公章）等证明资料。</w:t>
            </w:r>
          </w:p>
          <w:p>
            <w:pPr>
              <w:pStyle w:val="null3"/>
            </w:pPr>
            <w:r>
              <w:rPr>
                <w:rFonts w:ascii="仿宋_GB2312" w:hAnsi="仿宋_GB2312" w:cs="仿宋_GB2312" w:eastAsia="仿宋_GB2312"/>
              </w:rPr>
              <w:t>3.供应商应定期组织上岗上线人员的专业礼仪培训。</w:t>
            </w:r>
          </w:p>
          <w:p>
            <w:pPr>
              <w:pStyle w:val="null3"/>
            </w:pPr>
            <w:r>
              <w:rPr>
                <w:rFonts w:ascii="仿宋_GB2312" w:hAnsi="仿宋_GB2312" w:cs="仿宋_GB2312" w:eastAsia="仿宋_GB2312"/>
              </w:rPr>
              <w:t>4.供应商拟派车辆驾驶员应做好学生乘车刷卡监督工作，服从采购人车辆管理人员管理，有责任心和大局意识，如不服从管理或违反采购人管理制度，采购人有权要求供应商更换驾驶员。</w:t>
            </w:r>
          </w:p>
          <w:p>
            <w:pPr>
              <w:pStyle w:val="null3"/>
            </w:pPr>
            <w:r>
              <w:rPr>
                <w:rFonts w:ascii="仿宋_GB2312" w:hAnsi="仿宋_GB2312" w:cs="仿宋_GB2312" w:eastAsia="仿宋_GB2312"/>
              </w:rPr>
              <w:t>5.供应商上岗员工（含驾驶员）必须具有责任心强，服务态度良好，着装统一、佩戴工牌，做到文明礼貌、大方得体、面带微笑、态度和蔼可亲，车辆的空调、音像、卫生等设施符合要求，并确保车容整洁，车质车况良好；员工（含驾驶员）待客文明礼貌，协助采购人代表落实租用车辆的各项计划，保证采购人的正常用车。</w:t>
            </w:r>
          </w:p>
          <w:p>
            <w:pPr>
              <w:pStyle w:val="null3"/>
            </w:pPr>
            <w:r>
              <w:rPr>
                <w:rFonts w:ascii="仿宋_GB2312" w:hAnsi="仿宋_GB2312" w:cs="仿宋_GB2312" w:eastAsia="仿宋_GB2312"/>
              </w:rPr>
              <w:t>6.供应商应严格遵守各项规章制度及操作规范。</w:t>
            </w:r>
          </w:p>
          <w:p>
            <w:pPr>
              <w:pStyle w:val="null3"/>
            </w:pPr>
            <w:r>
              <w:rPr>
                <w:rFonts w:ascii="仿宋_GB2312" w:hAnsi="仿宋_GB2312" w:cs="仿宋_GB2312" w:eastAsia="仿宋_GB2312"/>
              </w:rPr>
              <w:t>7.驾驶人员不得带病、赌气、疲劳及酒后驾驶；因违反交通法则而导致的一切后果均由供应商自行负责，如造成采购人方面任何损失的，供应商须赔偿采购人全部损失。</w:t>
            </w:r>
          </w:p>
          <w:p>
            <w:pPr>
              <w:pStyle w:val="null3"/>
            </w:pPr>
            <w:r>
              <w:rPr>
                <w:rFonts w:ascii="仿宋_GB2312" w:hAnsi="仿宋_GB2312" w:cs="仿宋_GB2312" w:eastAsia="仿宋_GB2312"/>
              </w:rPr>
              <w:t>8.供应商应经常检查员工（含驾驶员）的服务工作质量；对凡因服务态度或工作质量问题导致造成严重影响时，不能再安排其在通勤班车工作。</w:t>
            </w:r>
          </w:p>
          <w:p>
            <w:pPr>
              <w:pStyle w:val="null3"/>
            </w:pPr>
            <w:r>
              <w:rPr>
                <w:rFonts w:ascii="仿宋_GB2312" w:hAnsi="仿宋_GB2312" w:cs="仿宋_GB2312" w:eastAsia="仿宋_GB2312"/>
              </w:rPr>
              <w:t>9.因供应商员工（含驾驶员）的失职、渎职、违反规章制度导致人身伤害及由此引起的各种纠纷，由供应商承担全部责任。</w:t>
            </w:r>
          </w:p>
          <w:p>
            <w:pPr>
              <w:pStyle w:val="null3"/>
            </w:pPr>
            <w:r>
              <w:rPr>
                <w:rFonts w:ascii="仿宋_GB2312" w:hAnsi="仿宋_GB2312" w:cs="仿宋_GB2312" w:eastAsia="仿宋_GB2312"/>
              </w:rPr>
              <w:t>10.无论因何种原因，供应商的上岗员工（含驾驶员）都不得与采购人的职工或乘客发生争吵或斗殴。一旦有此类事件发生，全部责任由供应商承担并承担相应的经济赔偿。</w:t>
            </w:r>
          </w:p>
          <w:p>
            <w:pPr>
              <w:pStyle w:val="null3"/>
            </w:pPr>
            <w:r>
              <w:rPr>
                <w:rFonts w:ascii="仿宋_GB2312" w:hAnsi="仿宋_GB2312" w:cs="仿宋_GB2312" w:eastAsia="仿宋_GB2312"/>
              </w:rPr>
              <w:t>11.供应商派出人员的工资、福利、医疗、保险均由供应商与员工（含驾驶员）商定。如发生劳资纠纷，由供应商解决，采购人不承担任何责任。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通勤班车、教学保障用车、迎新接站保障用车及重大活动专项保障用车于每月10日前向采购人列出上月所发生用车的车次及运费，采购人审核完毕30个工作日后，成交供应商向采购人开具符合要求的发票，采购人在收到成交供应商发票后30个工作日内向成交供应商支付审定后的费用，遇节假日、寒暑假期间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1.响应报价要求： 供应商应根据企业自身情况结合市场行情以“单价： 元/趟次”进行填报。评审时按照填报的单价合计金额进行进行评审，结算时根据实际发生用车情况结合成交供应商成交单价金额进行据实结算。 响应报价应是完成本次采购范围内所需服务的相应全部费用，包含租赁车辆的季审、年审、轮胎、维修、燃料、供养、税金、营运费、管理费、人员人工、工具器材、损耗品及材料、购置乘客意外事故险等一切费用等与之相关的一且直接费、间接费。 2.服务质量要求：合格，符合国家强制性规范及采购人要求。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供应商按竞争性磋商文件要求，应提供以下相关资格证明材料.docx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供应商按竞争性磋商文件要求，应提供以下相关资格证明材料.docx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供应商提供经会计师事务所审计的2023或2024年完整的财务审计报告或在开标日期前六个月内其基本开户银行出具的资信证明；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供应商须具有具备交通管理部门核发的有效《道路运输经营许可证》；</w:t>
            </w:r>
          </w:p>
        </w:tc>
        <w:tc>
          <w:tcPr>
            <w:tcW w:type="dxa" w:w="1661"/>
          </w:tcPr>
          <w:p>
            <w:pPr>
              <w:pStyle w:val="null3"/>
            </w:pPr>
            <w:r>
              <w:rPr>
                <w:rFonts w:ascii="仿宋_GB2312" w:hAnsi="仿宋_GB2312" w:cs="仿宋_GB2312" w:eastAsia="仿宋_GB2312"/>
              </w:rPr>
              <w:t>供应商按竞争性磋商文件要求，应提供以下相关资格证明材料.docx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服务内容响应偏离表.docx 培训方案.docx 中小企业声明函 商务应答表 服务承诺.docx 企业业绩.docx 经营管理以及与客户沟通具体实施方案.docx 报价表 分项报价一览表.docx 响应文件封面 应急预案.docx 合理化建议及增值服务.docx 残疾人福利性单位声明函 服务方案 标的清单 供应商按竞争性磋商文件要求，应提供以下相关资格证明材料.docx 整体服务方案.docx 驾驶员及管理人员团队及承诺.docx 响应函 监狱企业的证明文件 拟投入车辆及保险情况.docx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 分项报价一览表.docx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服务内容响应偏离表.docx 培训方案.docx 中小企业声明函 商务应答表 服务承诺.docx 企业业绩.docx 经营管理以及与客户沟通具体实施方案.docx 报价表 分项报价一览表.docx 响应文件封面 应急预案.docx 合理化建议及增值服务.docx 残疾人福利性单位声明函 服务方案 标的清单 供应商按竞争性磋商文件要求，应提供以下相关资格证明材料.docx 整体服务方案.docx 驾驶员及管理人员团队及承诺.docx 响应函 监狱企业的证明文件 拟投入车辆及保险情况.docx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服务内容响应偏离表.docx 培训方案.docx 中小企业声明函 商务应答表 服务承诺.docx 企业业绩.docx 经营管理以及与客户沟通具体实施方案.docx 报价表 分项报价一览表.docx 响应文件封面 应急预案.docx 合理化建议及增值服务.docx 残疾人福利性单位声明函 服务方案 标的清单 供应商按竞争性磋商文件要求，应提供以下相关资格证明材料.docx 整体服务方案.docx 驾驶员及管理人员团队及承诺.docx 响应函 监狱企业的证明文件 拟投入车辆及保险情况.docx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服务内容响应情况</w:t>
            </w:r>
          </w:p>
        </w:tc>
        <w:tc>
          <w:tcPr>
            <w:tcW w:type="dxa" w:w="2492"/>
          </w:tcPr>
          <w:p>
            <w:pPr>
              <w:pStyle w:val="null3"/>
            </w:pPr>
            <w:r>
              <w:rPr>
                <w:rFonts w:ascii="仿宋_GB2312" w:hAnsi="仿宋_GB2312" w:cs="仿宋_GB2312" w:eastAsia="仿宋_GB2312"/>
              </w:rPr>
              <w:t>根据供应商服务内容响应情况进行评审：完全满足本项目服务内容及要求的，得10分；服务内容及要求中每有一项负偏离的扣1分，扣完为止。备注：供应商应在响应文件中提供证明材料，佐证材料包括：第三方报告或彩页等证明资料）加盖单位公章。未提供有效证明材料或证明材料中内容与所填报指标不一致的或缺项、漏项的，将视为此条不满足，视同负偏离处理。（供应商自行承担因证明材料不全而被视为服务偏离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服务内容响应偏离表.docx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根据供应商针对采购需求中的服务内容、服务工作要求、质量标准，制订切实可行的整体服务方案，开展专业化服务进行评审： 供应商针对本项目提供的服务主要内容、服务工作要求及标准，制订整体服务方案合理，专业化服务针对性强的得3.1-5分； 供应商针对本项目提供的服务主要内容、服务工作要求及标准，制订整体服务基本可行，合理性、针对性稍有欠缺的得1.1-3分； 供应商针对本项目提供的服务主要内容、服务工作要求及标准，制订整体服务方案有部分缺漏，合理性、针对性较差得0-1分 供应商未提供的得0分。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驾驶员及管理人员团队及承诺1</w:t>
            </w:r>
          </w:p>
        </w:tc>
        <w:tc>
          <w:tcPr>
            <w:tcW w:type="dxa" w:w="2492"/>
          </w:tcPr>
          <w:p>
            <w:pPr>
              <w:pStyle w:val="null3"/>
            </w:pPr>
            <w:r>
              <w:rPr>
                <w:rFonts w:ascii="仿宋_GB2312" w:hAnsi="仿宋_GB2312" w:cs="仿宋_GB2312" w:eastAsia="仿宋_GB2312"/>
              </w:rPr>
              <w:t>1.根据供应商针对本项目车辆用途（包含通勤用车、教学用车、迎新接站及重大活动专项保障）拟投入的项目组成员名单（包含：车辆调度管理员、驾驶员等人员）进行评审： 供应商提供的人员配备清单，科学、合理，车辆调度管理员、驾驶员等人员充足，完全满足服务内容的得3.1-5分； 供应商提供的人员配备清单，科学、合理，人员数量稍有欠缺，能够满足服务内容的得1.1-3分； 供应商提供的人员配备清单，人员配备不足，部分关键岗位人员缺失严重，无法满足服务需求的得0-1分； 未提供的得0分。 备注：应附拟派驾驶员的驾驶证复印件或扫描件、社保证明材料、身份证复印件或扫描件。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驾驶员及管理人员团队及承诺.docx</w:t>
            </w:r>
          </w:p>
        </w:tc>
      </w:tr>
      <w:tr>
        <w:tc>
          <w:tcPr>
            <w:tcW w:type="dxa" w:w="831"/>
            <w:vMerge/>
          </w:tcPr>
          <w:p/>
        </w:tc>
        <w:tc>
          <w:tcPr>
            <w:tcW w:type="dxa" w:w="1661"/>
          </w:tcPr>
          <w:p>
            <w:pPr>
              <w:pStyle w:val="null3"/>
            </w:pPr>
            <w:r>
              <w:rPr>
                <w:rFonts w:ascii="仿宋_GB2312" w:hAnsi="仿宋_GB2312" w:cs="仿宋_GB2312" w:eastAsia="仿宋_GB2312"/>
              </w:rPr>
              <w:t>驾驶员及管理人员团队及承诺2</w:t>
            </w:r>
          </w:p>
        </w:tc>
        <w:tc>
          <w:tcPr>
            <w:tcW w:type="dxa" w:w="2492"/>
          </w:tcPr>
          <w:p>
            <w:pPr>
              <w:pStyle w:val="null3"/>
            </w:pPr>
            <w:r>
              <w:rPr>
                <w:rFonts w:ascii="仿宋_GB2312" w:hAnsi="仿宋_GB2312" w:cs="仿宋_GB2312" w:eastAsia="仿宋_GB2312"/>
              </w:rPr>
              <w:t>2.供应商针对本项目拟派驾驶员驾龄满5年（含5年）的得基础分2分，驾龄每增加两年加0.5分，最多加1分。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驾驶员及管理人员团队及承诺.docx</w:t>
            </w:r>
          </w:p>
        </w:tc>
      </w:tr>
      <w:tr>
        <w:tc>
          <w:tcPr>
            <w:tcW w:type="dxa" w:w="831"/>
            <w:vMerge/>
          </w:tcPr>
          <w:p/>
        </w:tc>
        <w:tc>
          <w:tcPr>
            <w:tcW w:type="dxa" w:w="1661"/>
          </w:tcPr>
          <w:p>
            <w:pPr>
              <w:pStyle w:val="null3"/>
            </w:pPr>
            <w:r>
              <w:rPr>
                <w:rFonts w:ascii="仿宋_GB2312" w:hAnsi="仿宋_GB2312" w:cs="仿宋_GB2312" w:eastAsia="仿宋_GB2312"/>
              </w:rPr>
              <w:t>驾驶员及管理人员团队及承诺3</w:t>
            </w:r>
          </w:p>
        </w:tc>
        <w:tc>
          <w:tcPr>
            <w:tcW w:type="dxa" w:w="2492"/>
          </w:tcPr>
          <w:p>
            <w:pPr>
              <w:pStyle w:val="null3"/>
            </w:pPr>
            <w:r>
              <w:rPr>
                <w:rFonts w:ascii="仿宋_GB2312" w:hAnsi="仿宋_GB2312" w:cs="仿宋_GB2312" w:eastAsia="仿宋_GB2312"/>
              </w:rPr>
              <w:t>3.供应商针对本项目拟派驾驶员须身体健康，无传染性疾病，无癫痫、精神病等可能危及行车安全的疾病病史，提供承诺书(格式自拟)得2分，未提供或提供不全的得0分。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驾驶员及管理人员团队及承诺.docx</w:t>
            </w:r>
          </w:p>
        </w:tc>
      </w:tr>
      <w:tr>
        <w:tc>
          <w:tcPr>
            <w:tcW w:type="dxa" w:w="831"/>
            <w:vMerge/>
          </w:tcPr>
          <w:p/>
        </w:tc>
        <w:tc>
          <w:tcPr>
            <w:tcW w:type="dxa" w:w="1661"/>
          </w:tcPr>
          <w:p>
            <w:pPr>
              <w:pStyle w:val="null3"/>
            </w:pPr>
            <w:r>
              <w:rPr>
                <w:rFonts w:ascii="仿宋_GB2312" w:hAnsi="仿宋_GB2312" w:cs="仿宋_GB2312" w:eastAsia="仿宋_GB2312"/>
              </w:rPr>
              <w:t>拟投入车辆及保险情况1</w:t>
            </w:r>
          </w:p>
        </w:tc>
        <w:tc>
          <w:tcPr>
            <w:tcW w:type="dxa" w:w="2492"/>
          </w:tcPr>
          <w:p>
            <w:pPr>
              <w:pStyle w:val="null3"/>
            </w:pPr>
            <w:r>
              <w:rPr>
                <w:rFonts w:ascii="仿宋_GB2312" w:hAnsi="仿宋_GB2312" w:cs="仿宋_GB2312" w:eastAsia="仿宋_GB2312"/>
              </w:rPr>
              <w:t>1.供应商针对本项目（通勤用车、教学用车）拟投入的服务车辆的使用年限情况进行评审： 车辆使用年限小于5年的得3分； 车辆使用年限大于等于5年且小于10年的得2分； 车辆使用年限大于等于10年的得0分。 备注：根据供应商提供的车辆行驶证的复印件或扫描件进行评审，并加盖供应商公章，未按要求完整提供证明材料的得0分。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拟投入车辆及保险情况.docx</w:t>
            </w:r>
          </w:p>
        </w:tc>
      </w:tr>
      <w:tr>
        <w:tc>
          <w:tcPr>
            <w:tcW w:type="dxa" w:w="831"/>
            <w:vMerge/>
          </w:tcPr>
          <w:p/>
        </w:tc>
        <w:tc>
          <w:tcPr>
            <w:tcW w:type="dxa" w:w="1661"/>
          </w:tcPr>
          <w:p>
            <w:pPr>
              <w:pStyle w:val="null3"/>
            </w:pPr>
            <w:r>
              <w:rPr>
                <w:rFonts w:ascii="仿宋_GB2312" w:hAnsi="仿宋_GB2312" w:cs="仿宋_GB2312" w:eastAsia="仿宋_GB2312"/>
              </w:rPr>
              <w:t>拟投入车辆及保险情况2</w:t>
            </w:r>
          </w:p>
        </w:tc>
        <w:tc>
          <w:tcPr>
            <w:tcW w:type="dxa" w:w="2492"/>
          </w:tcPr>
          <w:p>
            <w:pPr>
              <w:pStyle w:val="null3"/>
            </w:pPr>
            <w:r>
              <w:rPr>
                <w:rFonts w:ascii="仿宋_GB2312" w:hAnsi="仿宋_GB2312" w:cs="仿宋_GB2312" w:eastAsia="仿宋_GB2312"/>
              </w:rPr>
              <w:t>2.根据供应商提供的拟投入车辆数量、车辆型号、年审、车内监控、GPS配置等情况，进行评审： 供应商提供所服务的车辆类型与采购需求类型完全匹配且相关车辆证明资料完整、齐全，得3.1-5分； 供应商提供所服务的车辆类型与采购需求类型匹配度不高，相关证明资料稍有欠缺，得1.1-3分； 供应商提供所服务的车辆类型与采购需求类型不匹配，相关证明资料缺失严重，得0-1分； 供应商未提供的得0分。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拟投入车辆及保险情况.docx</w:t>
            </w:r>
          </w:p>
        </w:tc>
      </w:tr>
      <w:tr>
        <w:tc>
          <w:tcPr>
            <w:tcW w:type="dxa" w:w="831"/>
            <w:vMerge/>
          </w:tcPr>
          <w:p/>
        </w:tc>
        <w:tc>
          <w:tcPr>
            <w:tcW w:type="dxa" w:w="1661"/>
          </w:tcPr>
          <w:p>
            <w:pPr>
              <w:pStyle w:val="null3"/>
            </w:pPr>
            <w:r>
              <w:rPr>
                <w:rFonts w:ascii="仿宋_GB2312" w:hAnsi="仿宋_GB2312" w:cs="仿宋_GB2312" w:eastAsia="仿宋_GB2312"/>
              </w:rPr>
              <w:t>拟投入车辆及保险情况3</w:t>
            </w:r>
          </w:p>
        </w:tc>
        <w:tc>
          <w:tcPr>
            <w:tcW w:type="dxa" w:w="2492"/>
          </w:tcPr>
          <w:p>
            <w:pPr>
              <w:pStyle w:val="null3"/>
            </w:pPr>
            <w:r>
              <w:rPr>
                <w:rFonts w:ascii="仿宋_GB2312" w:hAnsi="仿宋_GB2312" w:cs="仿宋_GB2312" w:eastAsia="仿宋_GB2312"/>
              </w:rPr>
              <w:t>3.根据供应商提供的防火设施（车辆配备灭火器及警示性标志牌）、清洁及消毒方案；车厢内应配备医用急救设施清单进行评审： 防火设施完整，清洁及消毒方案全面，清洁及消毒积极准时、合理规范、针对性强，得3.1-5分； 防火设施完整，清洁及消毒方案较简单、清洁及消毒基本及时、具有一定的针对性，得1.1-3分； 防火设施不完整，清洁及消毒方案简单粗略，清洁及消毒不准时得0-1分； 供应商未提供的得0分。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拟投入车辆及保险情况.docx</w:t>
            </w:r>
          </w:p>
        </w:tc>
      </w:tr>
      <w:tr>
        <w:tc>
          <w:tcPr>
            <w:tcW w:type="dxa" w:w="831"/>
            <w:vMerge/>
          </w:tcPr>
          <w:p/>
        </w:tc>
        <w:tc>
          <w:tcPr>
            <w:tcW w:type="dxa" w:w="1661"/>
          </w:tcPr>
          <w:p>
            <w:pPr>
              <w:pStyle w:val="null3"/>
            </w:pPr>
            <w:r>
              <w:rPr>
                <w:rFonts w:ascii="仿宋_GB2312" w:hAnsi="仿宋_GB2312" w:cs="仿宋_GB2312" w:eastAsia="仿宋_GB2312"/>
              </w:rPr>
              <w:t>拟投入车辆及保险情况4</w:t>
            </w:r>
          </w:p>
        </w:tc>
        <w:tc>
          <w:tcPr>
            <w:tcW w:type="dxa" w:w="2492"/>
          </w:tcPr>
          <w:p>
            <w:pPr>
              <w:pStyle w:val="null3"/>
            </w:pPr>
            <w:r>
              <w:rPr>
                <w:rFonts w:ascii="仿宋_GB2312" w:hAnsi="仿宋_GB2312" w:cs="仿宋_GB2312" w:eastAsia="仿宋_GB2312"/>
              </w:rPr>
              <w:t>4.根据供应商拟投入服务的车辆保险（包括：交强险、第三者责任险、承运人责任险及车内乘客险（每座赔付金额≥人民币50万元））进行评审，供应商提供的险种齐全，完全满足本项目服务要求，能够确保项目执行的安全，提供相关证明材料加盖单位公章，提供完整的得3分，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拟投入车辆及保险情况.docx</w:t>
            </w:r>
          </w:p>
        </w:tc>
      </w:tr>
      <w:tr>
        <w:tc>
          <w:tcPr>
            <w:tcW w:type="dxa" w:w="831"/>
            <w:vMerge/>
          </w:tcPr>
          <w:p/>
        </w:tc>
        <w:tc>
          <w:tcPr>
            <w:tcW w:type="dxa" w:w="1661"/>
          </w:tcPr>
          <w:p>
            <w:pPr>
              <w:pStyle w:val="null3"/>
            </w:pPr>
            <w:r>
              <w:rPr>
                <w:rFonts w:ascii="仿宋_GB2312" w:hAnsi="仿宋_GB2312" w:cs="仿宋_GB2312" w:eastAsia="仿宋_GB2312"/>
              </w:rPr>
              <w:t>拟投入车辆及保险情况5</w:t>
            </w:r>
          </w:p>
        </w:tc>
        <w:tc>
          <w:tcPr>
            <w:tcW w:type="dxa" w:w="2492"/>
          </w:tcPr>
          <w:p>
            <w:pPr>
              <w:pStyle w:val="null3"/>
            </w:pPr>
            <w:r>
              <w:rPr>
                <w:rFonts w:ascii="仿宋_GB2312" w:hAnsi="仿宋_GB2312" w:cs="仿宋_GB2312" w:eastAsia="仿宋_GB2312"/>
              </w:rPr>
              <w:t>5.根据供应商提供的车辆定期维护和保养等确保车辆安全运行的保证措施进行评审： 保证措施科学合理、满足项目要求，合理性、针对性强得3.1-4分； 保证措施基本可行，合理性、针对性稍有欠缺的得1.1-3分； 保证措施有部分缺漏，合理性、针对性较差得0-1分；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拟投入车辆及保险情况.docx</w:t>
            </w:r>
          </w:p>
        </w:tc>
      </w:tr>
      <w:tr>
        <w:tc>
          <w:tcPr>
            <w:tcW w:type="dxa" w:w="831"/>
            <w:vMerge/>
          </w:tcPr>
          <w:p/>
        </w:tc>
        <w:tc>
          <w:tcPr>
            <w:tcW w:type="dxa" w:w="1661"/>
          </w:tcPr>
          <w:p>
            <w:pPr>
              <w:pStyle w:val="null3"/>
            </w:pPr>
            <w:r>
              <w:rPr>
                <w:rFonts w:ascii="仿宋_GB2312" w:hAnsi="仿宋_GB2312" w:cs="仿宋_GB2312" w:eastAsia="仿宋_GB2312"/>
              </w:rPr>
              <w:t>经营管理以及与客户沟通具体实施方案1</w:t>
            </w:r>
          </w:p>
        </w:tc>
        <w:tc>
          <w:tcPr>
            <w:tcW w:type="dxa" w:w="2492"/>
          </w:tcPr>
          <w:p>
            <w:pPr>
              <w:pStyle w:val="null3"/>
            </w:pPr>
            <w:r>
              <w:rPr>
                <w:rFonts w:ascii="仿宋_GB2312" w:hAnsi="仿宋_GB2312" w:cs="仿宋_GB2312" w:eastAsia="仿宋_GB2312"/>
              </w:rPr>
              <w:t>1.根据供应商的组织机构和各项管理规章制进行评审： 供应商组织机构完善，各项规章制度齐全，且科学、合理，能够保障本项目顺利实施的得3.1-4分； 供应商组织机构基本完善，各项规章制度基本齐全，内容稍有欠缺的得1.1-3分； 供应商组织机构不完善，各项规章制度缺项漏项严重的得0-1分；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经营管理以及与客户沟通具体实施方案.docx</w:t>
            </w:r>
          </w:p>
        </w:tc>
      </w:tr>
      <w:tr>
        <w:tc>
          <w:tcPr>
            <w:tcW w:type="dxa" w:w="831"/>
            <w:vMerge/>
          </w:tcPr>
          <w:p/>
        </w:tc>
        <w:tc>
          <w:tcPr>
            <w:tcW w:type="dxa" w:w="1661"/>
          </w:tcPr>
          <w:p>
            <w:pPr>
              <w:pStyle w:val="null3"/>
            </w:pPr>
            <w:r>
              <w:rPr>
                <w:rFonts w:ascii="仿宋_GB2312" w:hAnsi="仿宋_GB2312" w:cs="仿宋_GB2312" w:eastAsia="仿宋_GB2312"/>
              </w:rPr>
              <w:t>经营管理以及与客户沟通具体实施方案2</w:t>
            </w:r>
          </w:p>
        </w:tc>
        <w:tc>
          <w:tcPr>
            <w:tcW w:type="dxa" w:w="2492"/>
          </w:tcPr>
          <w:p>
            <w:pPr>
              <w:pStyle w:val="null3"/>
            </w:pPr>
            <w:r>
              <w:rPr>
                <w:rFonts w:ascii="仿宋_GB2312" w:hAnsi="仿宋_GB2312" w:cs="仿宋_GB2312" w:eastAsia="仿宋_GB2312"/>
              </w:rPr>
              <w:t>2.根据供应商提供关于在项目实施过程中与客户沟通的具体实施方案进行评审： 供应商实施过程中与客户沟通的具体实施方案内容完整、详细、可行的得3.1-4分； 供应商实施过程中与客户沟通的具体实施方案内容基本完整、详细、有一定可行性的得1.1-3分； 供应商实施过程中与客户沟通的具体实施方案内容不完整、缺失严重的得0-1分；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经营管理以及与客户沟通具体实施方案.docx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根据供应商对驾驶人员有驾驶员技能培训和交通安全、专业礼仪培训方案进行评审： 驾驶员技能培训和交通安全培训方案详细完善有针对性的3.1-4分； 驾驶员技能培训和交通安全培训方案有一定的可行性，基本满足项目要求，具有一定的合理性、针对性得1.1-3分； 驾驶员技能培训和交通安全培训方案简单粗略，合理性、针对性有欠缺的得0-1分；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根据供应商在服务过程中针对恶劣天气、突发事件（包括但不限于车辆故障、交通事故、乘车人突发疾病等相关事件）的应急预案进行评审： 应急预案科学合理、满足项目要求，及时有效且合理性、针对性强得3.1-4分； 应急预案有一定的可行性，基本满足项目要求，具有一定的合理性、针对性得1.1-3分； 应急预案基本可行，不及时，合理性、针对性稍有欠缺的得0.1-1分；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应提供：“因供应商员工（含驾驶员）的失职、渎职、违反规章制度导致人身伤害及由此引起的各种纠纷，由供应商承担全部责任。”及“无论因何种原因，供应商的上岗员工（含驾驶员）都不得与采购人的职工或乘客发生争吵或斗殴。一旦有此类事件发生，全部责任由供应商承担并承担相应的经济赔偿。”承诺书的得2分，未提供或提供不全的得0分。 评审依据：提供承诺书原件并加盖单位公章，格式自拟。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根据各供应商针对本项目提供的有利于本项目工作顺利进行的合理化建议及增值服务，由磋商小组根据上述内容横向比较后综合赋分： 合理化建议针对性强、增值服务贴合项目特点且切实可行的得1.1-2分； 合理化建议不符合实际，增值服务不具备可行性得0-1分；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合理化建议及增值服务.docx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在磋商响应文件中提供该供应商自2022年1月1日起至今的同类项目的业绩证明材料，每提供一份业绩得1分，满分为5分，不得重复累计。 注：业绩证明材料以完整合同的复印件或扫描件加盖供应商公章为准，时间以合同签订时间为准。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供应商自主填报响应报价，其响应报价均不得超过本项目竞争性磋商文件中列明的单价最高限价，否则按照无效响应处理。其中： 【通勤用车】价格分值为：20分； 【教学用车】价格分值为：5分； 【迎新接站用车】价格分值为：2分； 【重大活动专项保障用车】价格分值为：3分； 合计总分价格分值为30分。 磋商报价采用低价优先法计算，即满足磋商文件要求且磋商报价最低的最后单价合计报价为评审基准价，其价格分为满分。其他供应商的价格分统一按照下列公式计算：磋商报价得分=（评审基准价/最后单价合计报价×30 备注：响应报价总得分=【通勤用车】报价得分+【教学用车】报价得分+【迎新接站用车】报价得分+【重大活动专项保障用车】报价得分，其中【通勤用车】计算报价得分时，以（第一趟 +第二趟）的合计金额参与报价得分的计算。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详见附件：分项报价一览表.docx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详见附件：供应商按竞争性磋商文件要求，应提供以下相关资格证明材料.docx</w:t>
      </w:r>
    </w:p>
    <w:p>
      <w:pPr>
        <w:pStyle w:val="null3"/>
        <w:ind w:firstLine="960"/>
      </w:pPr>
      <w:r>
        <w:rPr>
          <w:rFonts w:ascii="仿宋_GB2312" w:hAnsi="仿宋_GB2312" w:cs="仿宋_GB2312" w:eastAsia="仿宋_GB2312"/>
        </w:rPr>
        <w:t>详见附件：合理化建议及增值服务.docx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详见附件：驾驶员及管理人员团队及承诺.docx</w:t>
      </w:r>
    </w:p>
    <w:p>
      <w:pPr>
        <w:pStyle w:val="null3"/>
        <w:ind w:firstLine="960"/>
      </w:pPr>
      <w:r>
        <w:rPr>
          <w:rFonts w:ascii="仿宋_GB2312" w:hAnsi="仿宋_GB2312" w:cs="仿宋_GB2312" w:eastAsia="仿宋_GB2312"/>
        </w:rPr>
        <w:t>详见附件：经营管理以及与客户沟通具体实施方案.docx</w:t>
      </w:r>
    </w:p>
    <w:p>
      <w:pPr>
        <w:pStyle w:val="null3"/>
        <w:ind w:firstLine="960"/>
      </w:pPr>
      <w:r>
        <w:rPr>
          <w:rFonts w:ascii="仿宋_GB2312" w:hAnsi="仿宋_GB2312" w:cs="仿宋_GB2312" w:eastAsia="仿宋_GB2312"/>
        </w:rPr>
        <w:t>详见附件：拟投入车辆及保险情况.docx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