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</w:t>
      </w:r>
      <w:r>
        <w:rPr>
          <w:rFonts w:hint="eastAsia"/>
          <w:b/>
          <w:bCs/>
          <w:sz w:val="24"/>
          <w:szCs w:val="24"/>
          <w:lang w:eastAsia="zh-CN"/>
        </w:rPr>
        <w:t>根据本项目</w:t>
      </w:r>
      <w:r>
        <w:rPr>
          <w:rFonts w:hint="eastAsia"/>
          <w:b/>
          <w:bCs/>
          <w:sz w:val="24"/>
          <w:szCs w:val="24"/>
          <w:lang w:val="en-US" w:eastAsia="zh-CN"/>
        </w:rPr>
        <w:t>评审</w:t>
      </w:r>
      <w:r>
        <w:rPr>
          <w:rFonts w:hint="eastAsia"/>
          <w:b/>
          <w:bCs/>
          <w:sz w:val="24"/>
          <w:szCs w:val="24"/>
          <w:lang w:eastAsia="zh-CN"/>
        </w:rPr>
        <w:t>办法，自行拟定拟投入车辆及保险情况。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480A01"/>
    <w:rsid w:val="37876130"/>
    <w:rsid w:val="5CCE2414"/>
    <w:rsid w:val="5F1A57DE"/>
    <w:rsid w:val="64A96A0C"/>
    <w:rsid w:val="740E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2025-06-10T11:30:19Z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