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97CC">
      <w:pPr>
        <w:pStyle w:val="3"/>
        <w:numPr>
          <w:ilvl w:val="0"/>
          <w:numId w:val="0"/>
        </w:numPr>
        <w:spacing w:line="360" w:lineRule="auto"/>
        <w:jc w:val="center"/>
        <w:rPr>
          <w:rFonts w:hint="eastAsia" w:ascii="黑体" w:eastAsia="黑体"/>
          <w:sz w:val="32"/>
          <w:lang w:val="en-US" w:eastAsia="zh-CN"/>
        </w:rPr>
      </w:pPr>
      <w:bookmarkStart w:id="0" w:name="_Toc11509"/>
      <w:bookmarkStart w:id="1" w:name="_Toc29644"/>
      <w:bookmarkStart w:id="2" w:name="_Toc17338"/>
      <w:bookmarkStart w:id="3" w:name="_Toc14376"/>
      <w:bookmarkStart w:id="4" w:name="_Toc11380"/>
      <w:bookmarkStart w:id="5" w:name="_Toc7708"/>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合同签订时采购人有权根据供应商竞争性谈判响应文件中的内容及承诺对合同内容进行补充和完善</w:t>
      </w:r>
      <w:r>
        <w:rPr>
          <w:rFonts w:hint="eastAsia" w:ascii="宋体" w:hAnsi="宋体" w:eastAsia="宋体" w:cs="宋体"/>
          <w:b w:val="0"/>
          <w:sz w:val="21"/>
          <w:szCs w:val="21"/>
          <w:highlight w:val="none"/>
        </w:rPr>
        <w:t>）</w:t>
      </w:r>
      <w:bookmarkEnd w:id="0"/>
      <w:bookmarkEnd w:id="1"/>
      <w:bookmarkEnd w:id="2"/>
      <w:bookmarkEnd w:id="3"/>
      <w:bookmarkEnd w:id="4"/>
      <w:bookmarkEnd w:id="5"/>
    </w:p>
    <w:p w14:paraId="786A21D1">
      <w:pPr>
        <w:spacing w:line="360" w:lineRule="auto"/>
        <w:ind w:left="29" w:right="56"/>
        <w:jc w:val="center"/>
        <w:rPr>
          <w:rFonts w:hint="eastAsia" w:ascii="宋体" w:hAnsi="宋体" w:eastAsia="宋体" w:cs="宋体"/>
          <w:b/>
          <w:sz w:val="19"/>
          <w:szCs w:val="19"/>
          <w:lang w:eastAsia="zh-CN"/>
        </w:rPr>
      </w:pPr>
    </w:p>
    <w:p w14:paraId="27DCD847">
      <w:pPr>
        <w:spacing w:line="360" w:lineRule="auto"/>
        <w:ind w:left="29" w:right="56"/>
        <w:jc w:val="center"/>
        <w:rPr>
          <w:rFonts w:hint="eastAsia" w:ascii="宋体" w:hAnsi="宋体" w:eastAsia="宋体" w:cs="宋体"/>
          <w:b/>
          <w:sz w:val="19"/>
          <w:szCs w:val="19"/>
          <w:lang w:eastAsia="zh-CN"/>
        </w:rPr>
      </w:pPr>
    </w:p>
    <w:p w14:paraId="1D7FD9E8">
      <w:pPr>
        <w:spacing w:line="360" w:lineRule="auto"/>
        <w:ind w:left="29" w:right="56"/>
        <w:jc w:val="center"/>
        <w:rPr>
          <w:rFonts w:hint="eastAsia" w:ascii="宋体" w:hAnsi="宋体" w:eastAsia="宋体" w:cs="宋体"/>
          <w:b/>
          <w:sz w:val="19"/>
          <w:szCs w:val="19"/>
          <w:lang w:eastAsia="zh-CN"/>
        </w:rPr>
      </w:pPr>
    </w:p>
    <w:p w14:paraId="1CE1F4E3">
      <w:pPr>
        <w:spacing w:line="360" w:lineRule="auto"/>
        <w:ind w:left="29" w:right="56"/>
        <w:jc w:val="center"/>
        <w:rPr>
          <w:rFonts w:hint="eastAsia" w:ascii="宋体" w:hAnsi="宋体" w:eastAsia="宋体" w:cs="宋体"/>
          <w:b/>
          <w:sz w:val="19"/>
          <w:szCs w:val="19"/>
          <w:lang w:eastAsia="zh-CN"/>
        </w:rPr>
      </w:pPr>
    </w:p>
    <w:p w14:paraId="63030EC9">
      <w:pPr>
        <w:snapToGrid w:val="0"/>
        <w:spacing w:line="360" w:lineRule="auto"/>
        <w:jc w:val="center"/>
        <w:rPr>
          <w:rFonts w:hint="eastAsia" w:ascii="宋体" w:hAnsi="宋体"/>
          <w:b/>
          <w:bCs/>
          <w:sz w:val="44"/>
          <w:szCs w:val="44"/>
          <w:highlight w:val="none"/>
          <w:lang w:eastAsia="zh-CN"/>
        </w:rPr>
      </w:pPr>
      <w:r>
        <w:rPr>
          <w:rFonts w:hint="eastAsia" w:ascii="宋体" w:hAnsi="宋体"/>
          <w:b/>
          <w:bCs/>
          <w:sz w:val="44"/>
          <w:szCs w:val="44"/>
          <w:highlight w:val="none"/>
          <w:lang w:eastAsia="zh-CN"/>
        </w:rPr>
        <w:t>西安建筑科技大学通勤班车租赁项目</w:t>
      </w:r>
    </w:p>
    <w:p w14:paraId="2BA619AC">
      <w:pPr>
        <w:snapToGrid w:val="0"/>
        <w:spacing w:line="360" w:lineRule="auto"/>
        <w:jc w:val="center"/>
        <w:rPr>
          <w:rFonts w:hint="eastAsia" w:ascii="宋体" w:hAnsi="宋体"/>
          <w:b/>
          <w:bCs/>
          <w:sz w:val="72"/>
          <w:szCs w:val="72"/>
          <w:highlight w:val="none"/>
        </w:rPr>
      </w:pPr>
    </w:p>
    <w:p w14:paraId="30AE4494">
      <w:pPr>
        <w:snapToGrid w:val="0"/>
        <w:spacing w:line="360" w:lineRule="auto"/>
        <w:jc w:val="center"/>
        <w:rPr>
          <w:rFonts w:hint="eastAsia" w:ascii="宋体" w:hAnsi="宋体"/>
          <w:b/>
          <w:bCs/>
          <w:sz w:val="72"/>
          <w:szCs w:val="72"/>
          <w:highlight w:val="none"/>
        </w:rPr>
      </w:pPr>
      <w:r>
        <w:rPr>
          <w:rFonts w:hint="eastAsia" w:ascii="宋体" w:hAnsi="宋体"/>
          <w:b/>
          <w:bCs/>
          <w:sz w:val="72"/>
          <w:szCs w:val="72"/>
          <w:highlight w:val="none"/>
          <w:lang w:eastAsia="zh-CN"/>
        </w:rPr>
        <w:t>服务</w:t>
      </w:r>
      <w:r>
        <w:rPr>
          <w:rFonts w:hint="eastAsia" w:ascii="宋体" w:hAnsi="宋体"/>
          <w:b/>
          <w:bCs/>
          <w:sz w:val="72"/>
          <w:szCs w:val="72"/>
          <w:highlight w:val="none"/>
        </w:rPr>
        <w:t>合同</w:t>
      </w:r>
    </w:p>
    <w:p w14:paraId="24A2BD6B">
      <w:pPr>
        <w:snapToGrid w:val="0"/>
        <w:spacing w:line="360" w:lineRule="auto"/>
        <w:ind w:firstLine="2570" w:firstLineChars="800"/>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3265DC8E">
      <w:pPr>
        <w:snapToGrid w:val="0"/>
        <w:spacing w:line="360" w:lineRule="auto"/>
        <w:jc w:val="center"/>
        <w:rPr>
          <w:rFonts w:hint="eastAsia" w:ascii="宋体" w:hAnsi="宋体"/>
          <w:b/>
          <w:bCs/>
          <w:spacing w:val="26"/>
          <w:sz w:val="36"/>
          <w:szCs w:val="36"/>
          <w:highlight w:val="none"/>
        </w:rPr>
      </w:pPr>
    </w:p>
    <w:p w14:paraId="512DE84A">
      <w:pPr>
        <w:snapToGrid w:val="0"/>
        <w:spacing w:line="360" w:lineRule="auto"/>
        <w:rPr>
          <w:rFonts w:hint="eastAsia" w:ascii="宋体" w:hAnsi="宋体"/>
          <w:b/>
          <w:sz w:val="32"/>
          <w:szCs w:val="32"/>
          <w:highlight w:val="none"/>
        </w:rPr>
      </w:pPr>
    </w:p>
    <w:p w14:paraId="6B3B8929">
      <w:pPr>
        <w:snapToGrid w:val="0"/>
        <w:spacing w:line="360" w:lineRule="auto"/>
        <w:rPr>
          <w:rFonts w:hint="eastAsia" w:ascii="宋体" w:hAnsi="宋体"/>
          <w:b/>
          <w:sz w:val="32"/>
          <w:szCs w:val="32"/>
          <w:highlight w:val="none"/>
        </w:rPr>
      </w:pPr>
    </w:p>
    <w:p w14:paraId="0C50F913">
      <w:pPr>
        <w:snapToGrid w:val="0"/>
        <w:spacing w:line="360" w:lineRule="auto"/>
        <w:rPr>
          <w:rFonts w:hint="eastAsia" w:ascii="宋体" w:hAnsi="宋体"/>
          <w:b/>
          <w:sz w:val="32"/>
          <w:szCs w:val="32"/>
          <w:highlight w:val="none"/>
        </w:rPr>
      </w:pPr>
    </w:p>
    <w:p w14:paraId="197476CC">
      <w:pPr>
        <w:snapToGrid w:val="0"/>
        <w:spacing w:line="360" w:lineRule="auto"/>
        <w:rPr>
          <w:rFonts w:hint="eastAsia" w:ascii="宋体" w:hAnsi="宋体"/>
          <w:b/>
          <w:sz w:val="32"/>
          <w:szCs w:val="32"/>
          <w:highlight w:val="none"/>
        </w:rPr>
      </w:pPr>
    </w:p>
    <w:p w14:paraId="6AD91C13">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西安建筑科技大学       </w:t>
      </w:r>
    </w:p>
    <w:p w14:paraId="5D9BC939">
      <w:pPr>
        <w:snapToGrid w:val="0"/>
        <w:spacing w:line="360" w:lineRule="auto"/>
        <w:ind w:firstLine="1205" w:firstLineChars="4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17C4B42C">
      <w:pPr>
        <w:snapToGrid w:val="0"/>
        <w:spacing w:line="360" w:lineRule="auto"/>
        <w:jc w:val="center"/>
        <w:rPr>
          <w:rFonts w:hint="eastAsia" w:ascii="宋体" w:hAnsi="宋体"/>
          <w:b/>
          <w:bCs/>
          <w:sz w:val="30"/>
          <w:szCs w:val="30"/>
          <w:highlight w:val="none"/>
        </w:rPr>
      </w:pPr>
      <w:r>
        <w:rPr>
          <w:rFonts w:hint="eastAsia" w:ascii="宋体" w:hAnsi="宋体"/>
          <w:b/>
          <w:bCs/>
          <w:sz w:val="30"/>
          <w:szCs w:val="30"/>
          <w:highlight w:val="none"/>
        </w:rPr>
        <w:t xml:space="preserve">  </w:t>
      </w:r>
    </w:p>
    <w:p w14:paraId="0ABF1643">
      <w:pPr>
        <w:snapToGrid w:val="0"/>
        <w:spacing w:line="360" w:lineRule="auto"/>
        <w:jc w:val="center"/>
        <w:rPr>
          <w:rFonts w:hint="eastAsia" w:ascii="宋体" w:hAnsi="宋体"/>
          <w:b/>
          <w:bCs/>
          <w:spacing w:val="26"/>
          <w:sz w:val="30"/>
          <w:szCs w:val="30"/>
          <w:highlight w:val="none"/>
        </w:rPr>
      </w:pP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0B343F92">
      <w:pPr>
        <w:rPr>
          <w:rFonts w:ascii="宋体" w:hAnsi="宋体" w:eastAsia="宋体" w:cs="宋体"/>
          <w:b/>
          <w:sz w:val="24"/>
        </w:rPr>
      </w:pPr>
    </w:p>
    <w:p w14:paraId="78379ECC">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482" w:firstLineChars="200"/>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bCs/>
          <w:color w:val="auto"/>
          <w:sz w:val="24"/>
          <w:szCs w:val="24"/>
          <w:highlight w:val="none"/>
        </w:rPr>
        <w:t>甲方：</w:t>
      </w:r>
      <w:r>
        <w:rPr>
          <w:rFonts w:hint="eastAsia" w:ascii="宋体" w:hAnsi="宋体" w:cs="宋体"/>
          <w:color w:val="auto"/>
          <w:sz w:val="24"/>
          <w:szCs w:val="24"/>
          <w:highlight w:val="none"/>
          <w:u w:val="single"/>
          <w:lang w:val="en-US" w:eastAsia="zh-CN"/>
        </w:rPr>
        <w:t>西安建筑科技大学</w:t>
      </w:r>
    </w:p>
    <w:p w14:paraId="5CA1713D">
      <w:pPr>
        <w:keepNext w:val="0"/>
        <w:keepLines w:val="0"/>
        <w:pageBreakBefore w:val="0"/>
        <w:widowControl w:val="0"/>
        <w:shd w:val="clear" w:color="auto" w:fill="FFFFFF"/>
        <w:kinsoku/>
        <w:wordWrap/>
        <w:overflowPunct/>
        <w:topLinePunct w:val="0"/>
        <w:autoSpaceDE/>
        <w:autoSpaceDN/>
        <w:bidi w:val="0"/>
        <w:adjustRightInd/>
        <w:snapToGrid/>
        <w:spacing w:line="360" w:lineRule="auto"/>
        <w:ind w:left="0" w:leftChars="0"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Cs/>
          <w:color w:val="auto"/>
          <w:sz w:val="24"/>
          <w:szCs w:val="24"/>
          <w:highlight w:val="none"/>
          <w:u w:val="single"/>
        </w:rPr>
        <w:t xml:space="preserve">                </w:t>
      </w:r>
    </w:p>
    <w:p w14:paraId="2D830930">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根据《中华人民共和国民法典》及相关法律法规规定， </w:t>
      </w:r>
      <w:r>
        <w:rPr>
          <w:rFonts w:hint="eastAsia" w:ascii="宋体" w:hAnsi="宋体" w:eastAsia="宋体" w:cs="宋体"/>
          <w:spacing w:val="-2"/>
          <w:sz w:val="24"/>
          <w:szCs w:val="24"/>
          <w:highlight w:val="none"/>
          <w:lang w:val="en-US" w:eastAsia="zh-CN"/>
        </w:rPr>
        <w:t>西安建筑科技大学通勤班车雁塔校区至草堂校区往返、西安建筑科技大学迎新接站、其他零散用车等</w:t>
      </w:r>
      <w:r>
        <w:rPr>
          <w:rFonts w:hint="eastAsia" w:ascii="宋体" w:hAnsi="宋体" w:eastAsia="宋体" w:cs="宋体"/>
          <w:spacing w:val="-2"/>
          <w:sz w:val="24"/>
          <w:szCs w:val="24"/>
          <w:highlight w:val="none"/>
        </w:rPr>
        <w:t>。根据甲方要求，甲乙双方本着平等、诚信、自愿、互利的原则，经友好协商后，乙方提供可以满足甲方工作需求的车辆， 为明确双方的权利义务，就甲方医护通勤用车达成如下协议。</w:t>
      </w:r>
    </w:p>
    <w:p w14:paraId="1086771A">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一、合同期限及终止</w:t>
      </w:r>
    </w:p>
    <w:p w14:paraId="4B907FF3">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根据甲方通勤用车的实际情况和乙方服务情况确定，本合同自</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u w:val="none"/>
          <w:lang w:val="en-US" w:eastAsia="zh-CN"/>
        </w:rPr>
        <w:t>年</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u w:val="none"/>
          <w:lang w:val="en-US" w:eastAsia="zh-CN"/>
        </w:rPr>
        <w:t>月</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u w:val="none"/>
          <w:lang w:val="en-US" w:eastAsia="zh-CN"/>
        </w:rPr>
        <w:t>日</w:t>
      </w:r>
      <w:r>
        <w:rPr>
          <w:rFonts w:hint="eastAsia" w:ascii="宋体" w:hAnsi="宋体" w:eastAsia="宋体" w:cs="宋体"/>
          <w:spacing w:val="-2"/>
          <w:sz w:val="24"/>
          <w:szCs w:val="24"/>
          <w:highlight w:val="none"/>
        </w:rPr>
        <w:t>起执行至</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u w:val="none"/>
          <w:lang w:val="en-US" w:eastAsia="zh-CN"/>
        </w:rPr>
        <w:t>年</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u w:val="none"/>
          <w:lang w:val="en-US" w:eastAsia="zh-CN"/>
        </w:rPr>
        <w:t>月</w:t>
      </w:r>
      <w:r>
        <w:rPr>
          <w:rFonts w:hint="eastAsia" w:ascii="宋体" w:hAnsi="宋体" w:eastAsia="宋体" w:cs="宋体"/>
          <w:spacing w:val="-2"/>
          <w:sz w:val="24"/>
          <w:szCs w:val="24"/>
          <w:highlight w:val="none"/>
          <w:u w:val="single"/>
          <w:lang w:val="en-US" w:eastAsia="zh-CN"/>
        </w:rPr>
        <w:t xml:space="preserve">  </w:t>
      </w:r>
      <w:r>
        <w:rPr>
          <w:rFonts w:hint="eastAsia" w:ascii="宋体" w:hAnsi="宋体" w:eastAsia="宋体" w:cs="宋体"/>
          <w:spacing w:val="-2"/>
          <w:sz w:val="24"/>
          <w:szCs w:val="24"/>
          <w:highlight w:val="none"/>
          <w:u w:val="none"/>
          <w:lang w:val="en-US" w:eastAsia="zh-CN"/>
        </w:rPr>
        <w:t>日</w:t>
      </w:r>
      <w:r>
        <w:rPr>
          <w:rFonts w:hint="eastAsia" w:ascii="宋体" w:hAnsi="宋体" w:eastAsia="宋体" w:cs="宋体"/>
          <w:spacing w:val="-2"/>
          <w:sz w:val="24"/>
          <w:szCs w:val="24"/>
          <w:highlight w:val="none"/>
        </w:rPr>
        <w:t>。</w:t>
      </w:r>
    </w:p>
    <w:p w14:paraId="63A684C7">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lang w:val="en-US" w:eastAsia="zh-CN"/>
        </w:rPr>
      </w:pPr>
      <w:r>
        <w:rPr>
          <w:rFonts w:hint="eastAsia" w:ascii="宋体" w:hAnsi="宋体" w:eastAsia="宋体" w:cs="宋体"/>
          <w:b/>
          <w:bCs/>
          <w:spacing w:val="-2"/>
          <w:sz w:val="24"/>
          <w:szCs w:val="24"/>
          <w:highlight w:val="none"/>
        </w:rPr>
        <w:t>二、</w:t>
      </w:r>
      <w:r>
        <w:rPr>
          <w:rFonts w:hint="eastAsia" w:ascii="宋体" w:hAnsi="宋体" w:cs="宋体"/>
          <w:b/>
          <w:bCs/>
          <w:spacing w:val="-2"/>
          <w:sz w:val="24"/>
          <w:szCs w:val="24"/>
          <w:highlight w:val="none"/>
          <w:lang w:val="en-US" w:eastAsia="zh-CN"/>
        </w:rPr>
        <w:t>服务内容及要求</w:t>
      </w:r>
    </w:p>
    <w:p w14:paraId="7B6A88B4">
      <w:pPr>
        <w:pStyle w:val="8"/>
        <w:adjustRightInd w:val="0"/>
        <w:snapToGrid w:val="0"/>
        <w:spacing w:line="360" w:lineRule="auto"/>
        <w:ind w:firstLine="241" w:firstLineChars="100"/>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（一）车辆用途及单价限价要求</w:t>
      </w:r>
    </w:p>
    <w:tbl>
      <w:tblPr>
        <w:tblStyle w:val="6"/>
        <w:tblW w:w="10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360"/>
        <w:gridCol w:w="2021"/>
        <w:gridCol w:w="1270"/>
        <w:gridCol w:w="1820"/>
        <w:gridCol w:w="3024"/>
      </w:tblGrid>
      <w:tr w14:paraId="3D4C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780" w:type="dxa"/>
            <w:vAlign w:val="center"/>
          </w:tcPr>
          <w:p w14:paraId="393E5D4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序号</w:t>
            </w:r>
          </w:p>
        </w:tc>
        <w:tc>
          <w:tcPr>
            <w:tcW w:w="1360" w:type="dxa"/>
            <w:vAlign w:val="center"/>
          </w:tcPr>
          <w:p w14:paraId="617A3EC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车辆用途</w:t>
            </w:r>
          </w:p>
        </w:tc>
        <w:tc>
          <w:tcPr>
            <w:tcW w:w="2021" w:type="dxa"/>
            <w:vAlign w:val="center"/>
          </w:tcPr>
          <w:p w14:paraId="50127A6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路线</w:t>
            </w:r>
          </w:p>
        </w:tc>
        <w:tc>
          <w:tcPr>
            <w:tcW w:w="1270" w:type="dxa"/>
            <w:vAlign w:val="center"/>
          </w:tcPr>
          <w:p w14:paraId="1840750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发车要求</w:t>
            </w:r>
          </w:p>
        </w:tc>
        <w:tc>
          <w:tcPr>
            <w:tcW w:w="1820" w:type="dxa"/>
            <w:vAlign w:val="center"/>
          </w:tcPr>
          <w:p w14:paraId="4BA4052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往返趟次</w:t>
            </w:r>
          </w:p>
          <w:p w14:paraId="07E4E51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（预估）</w:t>
            </w:r>
          </w:p>
        </w:tc>
        <w:tc>
          <w:tcPr>
            <w:tcW w:w="3024" w:type="dxa"/>
            <w:vAlign w:val="center"/>
          </w:tcPr>
          <w:p w14:paraId="11EAE44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单价金额</w:t>
            </w:r>
          </w:p>
        </w:tc>
      </w:tr>
      <w:tr w14:paraId="777A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8" w:hRule="atLeast"/>
          <w:jc w:val="center"/>
        </w:trPr>
        <w:tc>
          <w:tcPr>
            <w:tcW w:w="780" w:type="dxa"/>
            <w:vAlign w:val="center"/>
          </w:tcPr>
          <w:p w14:paraId="543826E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360" w:type="dxa"/>
            <w:vAlign w:val="center"/>
          </w:tcPr>
          <w:p w14:paraId="281FED6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通勤用车，需求4台</w:t>
            </w:r>
          </w:p>
        </w:tc>
        <w:tc>
          <w:tcPr>
            <w:tcW w:w="2021" w:type="dxa"/>
            <w:vAlign w:val="center"/>
          </w:tcPr>
          <w:p w14:paraId="0EDFB74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雁塔校区发往草堂校区</w:t>
            </w:r>
          </w:p>
        </w:tc>
        <w:tc>
          <w:tcPr>
            <w:tcW w:w="1270" w:type="dxa"/>
            <w:vMerge w:val="restart"/>
            <w:vAlign w:val="center"/>
          </w:tcPr>
          <w:p w14:paraId="63B0265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具体详见现阶段发车时刻</w:t>
            </w:r>
          </w:p>
          <w:p w14:paraId="5DC3D91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lang w:val="en-US" w:eastAsia="zh-CN"/>
              </w:rPr>
              <w:t>要求</w:t>
            </w:r>
          </w:p>
        </w:tc>
        <w:tc>
          <w:tcPr>
            <w:tcW w:w="1820" w:type="dxa"/>
            <w:vAlign w:val="center"/>
          </w:tcPr>
          <w:p w14:paraId="0A56F04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全年往返趟数约1765趟</w:t>
            </w:r>
          </w:p>
        </w:tc>
        <w:tc>
          <w:tcPr>
            <w:tcW w:w="3024" w:type="dxa"/>
            <w:vAlign w:val="center"/>
          </w:tcPr>
          <w:p w14:paraId="02EE0B4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7515F3F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3DA13B1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（备注：第二趟意指：同一辆车同一天同一路线的第二趟次往返费用）</w:t>
            </w:r>
          </w:p>
        </w:tc>
      </w:tr>
      <w:tr w14:paraId="2FD96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780" w:type="dxa"/>
            <w:vAlign w:val="center"/>
          </w:tcPr>
          <w:p w14:paraId="2398A85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360" w:type="dxa"/>
            <w:shd w:val="clear" w:color="auto" w:fill="auto"/>
            <w:vAlign w:val="center"/>
          </w:tcPr>
          <w:p w14:paraId="5B85831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lang w:val="en-US" w:eastAsia="zh-CN"/>
              </w:rPr>
              <w:t>教学用车</w:t>
            </w:r>
          </w:p>
        </w:tc>
        <w:tc>
          <w:tcPr>
            <w:tcW w:w="2021" w:type="dxa"/>
            <w:shd w:val="clear" w:color="auto" w:fill="auto"/>
            <w:vAlign w:val="center"/>
          </w:tcPr>
          <w:p w14:paraId="4783A41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草堂校区发往雁塔校区</w:t>
            </w:r>
          </w:p>
        </w:tc>
        <w:tc>
          <w:tcPr>
            <w:tcW w:w="1270" w:type="dxa"/>
            <w:vMerge w:val="continue"/>
            <w:vAlign w:val="center"/>
          </w:tcPr>
          <w:p w14:paraId="2B2F5A6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p>
        </w:tc>
        <w:tc>
          <w:tcPr>
            <w:tcW w:w="1820" w:type="dxa"/>
            <w:vAlign w:val="center"/>
          </w:tcPr>
          <w:p w14:paraId="556A1AB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全年往返趟数约400趟</w:t>
            </w:r>
          </w:p>
        </w:tc>
        <w:tc>
          <w:tcPr>
            <w:tcW w:w="3024" w:type="dxa"/>
            <w:vAlign w:val="center"/>
          </w:tcPr>
          <w:p w14:paraId="5B02D25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tc>
      </w:tr>
      <w:tr w14:paraId="7773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780" w:type="dxa"/>
            <w:vAlign w:val="center"/>
          </w:tcPr>
          <w:p w14:paraId="5DFE217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360" w:type="dxa"/>
            <w:shd w:val="clear" w:color="auto" w:fill="auto"/>
            <w:vAlign w:val="center"/>
          </w:tcPr>
          <w:p w14:paraId="6BE866D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color w:val="auto"/>
                <w:highlight w:val="none"/>
                <w:lang w:val="en-US" w:eastAsia="zh-CN"/>
              </w:rPr>
            </w:pPr>
            <w:r>
              <w:rPr>
                <w:rFonts w:hint="eastAsia" w:ascii="宋体" w:hAnsi="宋体" w:eastAsia="宋体" w:cs="宋体"/>
                <w:color w:val="auto"/>
                <w:sz w:val="24"/>
                <w:szCs w:val="24"/>
                <w:highlight w:val="none"/>
                <w:lang w:val="en-US" w:eastAsia="zh-CN"/>
              </w:rPr>
              <w:t>迎新接站</w:t>
            </w:r>
          </w:p>
        </w:tc>
        <w:tc>
          <w:tcPr>
            <w:tcW w:w="2021" w:type="dxa"/>
            <w:shd w:val="clear" w:color="auto" w:fill="auto"/>
            <w:vAlign w:val="center"/>
          </w:tcPr>
          <w:p w14:paraId="6F4E035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雁塔校区、西安火车站--草堂校区</w:t>
            </w:r>
          </w:p>
        </w:tc>
        <w:tc>
          <w:tcPr>
            <w:tcW w:w="1270" w:type="dxa"/>
            <w:vMerge w:val="restart"/>
            <w:vAlign w:val="center"/>
          </w:tcPr>
          <w:p w14:paraId="1B33951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lang w:val="en-US" w:eastAsia="zh-CN"/>
              </w:rPr>
              <w:t>具体以采购人实际要求为准</w:t>
            </w:r>
          </w:p>
        </w:tc>
        <w:tc>
          <w:tcPr>
            <w:tcW w:w="1820" w:type="dxa"/>
            <w:vAlign w:val="center"/>
          </w:tcPr>
          <w:p w14:paraId="1BDC8A4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往返趟数</w:t>
            </w:r>
          </w:p>
          <w:p w14:paraId="49B6222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约60趟</w:t>
            </w:r>
          </w:p>
        </w:tc>
        <w:tc>
          <w:tcPr>
            <w:tcW w:w="3024" w:type="dxa"/>
            <w:vAlign w:val="center"/>
          </w:tcPr>
          <w:p w14:paraId="0410A15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val="en-US" w:eastAsia="zh-CN"/>
              </w:rPr>
              <w:t>单趟往返:</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tc>
      </w:tr>
      <w:tr w14:paraId="73B26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780" w:type="dxa"/>
            <w:vAlign w:val="center"/>
          </w:tcPr>
          <w:p w14:paraId="700253A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360" w:type="dxa"/>
            <w:vAlign w:val="center"/>
          </w:tcPr>
          <w:p w14:paraId="3316062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重大活动</w:t>
            </w:r>
          </w:p>
          <w:p w14:paraId="14741D2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color w:val="auto"/>
                <w:highlight w:val="none"/>
                <w:lang w:val="en-US" w:eastAsia="zh-CN"/>
              </w:rPr>
            </w:pPr>
            <w:r>
              <w:rPr>
                <w:rFonts w:hint="eastAsia" w:ascii="宋体" w:hAnsi="宋体" w:eastAsia="宋体" w:cs="宋体"/>
                <w:color w:val="auto"/>
                <w:sz w:val="24"/>
                <w:szCs w:val="24"/>
                <w:highlight w:val="none"/>
                <w:lang w:val="en-US" w:eastAsia="zh-CN"/>
              </w:rPr>
              <w:t>专项保障</w:t>
            </w:r>
          </w:p>
        </w:tc>
        <w:tc>
          <w:tcPr>
            <w:tcW w:w="2021" w:type="dxa"/>
            <w:vAlign w:val="center"/>
          </w:tcPr>
          <w:p w14:paraId="5A087F2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雁塔校区--市内</w:t>
            </w:r>
          </w:p>
        </w:tc>
        <w:tc>
          <w:tcPr>
            <w:tcW w:w="1270" w:type="dxa"/>
            <w:vMerge w:val="continue"/>
            <w:vAlign w:val="center"/>
          </w:tcPr>
          <w:p w14:paraId="457C79E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p>
        </w:tc>
        <w:tc>
          <w:tcPr>
            <w:tcW w:w="1820" w:type="dxa"/>
            <w:vAlign w:val="center"/>
          </w:tcPr>
          <w:p w14:paraId="45D867D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往返</w:t>
            </w:r>
          </w:p>
          <w:p w14:paraId="3C7DCC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趟数约200趟</w:t>
            </w:r>
          </w:p>
        </w:tc>
        <w:tc>
          <w:tcPr>
            <w:tcW w:w="3024" w:type="dxa"/>
            <w:vAlign w:val="center"/>
          </w:tcPr>
          <w:p w14:paraId="620CEF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单趟往返:</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tc>
      </w:tr>
      <w:tr w14:paraId="7CDE7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5431" w:type="dxa"/>
            <w:gridSpan w:val="4"/>
            <w:vAlign w:val="center"/>
          </w:tcPr>
          <w:p w14:paraId="6D31C779">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eastAsia="zh-CN"/>
              </w:rPr>
              <w:t>单价限价合计</w:t>
            </w:r>
          </w:p>
        </w:tc>
        <w:tc>
          <w:tcPr>
            <w:tcW w:w="4844" w:type="dxa"/>
            <w:gridSpan w:val="2"/>
            <w:vAlign w:val="center"/>
          </w:tcPr>
          <w:p w14:paraId="6B43B739">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大写：人民币</w:t>
            </w:r>
            <w:r>
              <w:rPr>
                <w:rFonts w:hint="eastAsia" w:ascii="宋体" w:hAnsi="宋体" w:eastAsia="宋体" w:cs="宋体"/>
                <w:color w:val="auto"/>
                <w:sz w:val="24"/>
                <w:szCs w:val="24"/>
                <w:highlight w:val="none"/>
                <w:u w:val="single"/>
                <w:lang w:val="en-US" w:eastAsia="zh-CN"/>
              </w:rPr>
              <w:t xml:space="preserve">           </w:t>
            </w:r>
          </w:p>
          <w:p w14:paraId="05F61827">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zh-CN"/>
              </w:rPr>
              <w:t>小写：</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元</w:t>
            </w:r>
          </w:p>
        </w:tc>
      </w:tr>
    </w:tbl>
    <w:p w14:paraId="59F563BC">
      <w:pPr>
        <w:pStyle w:val="8"/>
        <w:adjustRightInd w:val="0"/>
        <w:snapToGrid w:val="0"/>
        <w:spacing w:line="360" w:lineRule="auto"/>
        <w:ind w:firstLine="482" w:firstLineChars="200"/>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（二）现阶段发车时刻要求及</w:t>
      </w:r>
      <w:r>
        <w:rPr>
          <w:rFonts w:hint="eastAsia" w:ascii="宋体" w:hAnsi="宋体" w:eastAsia="宋体" w:cs="宋体"/>
          <w:b/>
          <w:bCs/>
          <w:color w:val="auto"/>
          <w:sz w:val="24"/>
          <w:lang w:eastAsia="zh-CN"/>
        </w:rPr>
        <w:t>通勤班车</w:t>
      </w:r>
      <w:r>
        <w:rPr>
          <w:rFonts w:hint="eastAsia" w:ascii="宋体" w:hAnsi="宋体" w:eastAsia="宋体" w:cs="宋体"/>
          <w:b/>
          <w:bCs/>
          <w:color w:val="auto"/>
          <w:sz w:val="24"/>
        </w:rPr>
        <w:t>行驶路线</w:t>
      </w:r>
      <w:r>
        <w:rPr>
          <w:rFonts w:hint="eastAsia" w:ascii="宋体" w:hAnsi="宋体" w:eastAsia="宋体" w:cs="宋体"/>
          <w:b/>
          <w:bCs/>
          <w:color w:val="auto"/>
          <w:sz w:val="24"/>
          <w:lang w:eastAsia="zh-CN"/>
        </w:rPr>
        <w:t>要求</w:t>
      </w:r>
    </w:p>
    <w:p w14:paraId="3266A333">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1.现阶段发车时刻及要求</w:t>
      </w:r>
    </w:p>
    <w:p w14:paraId="7E9F3D03">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现阶段通勤外租车辆为工作日每日4辆核载49人车辆，具体每辆车发车时刻为：</w:t>
      </w:r>
    </w:p>
    <w:p w14:paraId="1A609D42">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lang w:val="en-US" w:eastAsia="zh-CN"/>
        </w:rPr>
        <w:t>（1）车辆一：7:00雁塔校区---草堂校区10:20返回，</w:t>
      </w:r>
      <w:r>
        <w:rPr>
          <w:rFonts w:hint="eastAsia" w:ascii="宋体" w:hAnsi="宋体" w:eastAsia="宋体" w:cs="宋体"/>
          <w:color w:val="auto"/>
          <w:sz w:val="24"/>
          <w:highlight w:val="none"/>
          <w:lang w:val="en-US" w:eastAsia="zh-CN"/>
        </w:rPr>
        <w:t>12:30雁塔校区---草堂校区15:50返回；</w:t>
      </w:r>
    </w:p>
    <w:p w14:paraId="16B3603C">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（2）车辆二：7:00雁塔校区---草堂校区8：30返回，10:30雁塔校区---草堂校区17:00返回；</w:t>
      </w:r>
    </w:p>
    <w:p w14:paraId="52BDFEDD">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（3）车辆三：7:00雁塔校区---草堂校区12:15返回，14:15雁塔校区---草堂校区17:40返回；</w:t>
      </w:r>
    </w:p>
    <w:p w14:paraId="4F8D7EF6">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（4）车辆四：7:00雁塔校区---草堂校区13:10返回，16:00雁塔校区---草堂校区17:40返回。</w:t>
      </w:r>
    </w:p>
    <w:p w14:paraId="02F78D4D">
      <w:pPr>
        <w:pStyle w:val="8"/>
        <w:adjustRightInd w:val="0"/>
        <w:snapToGrid w:val="0"/>
        <w:spacing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备注</w:t>
      </w:r>
      <w:r>
        <w:rPr>
          <w:rFonts w:hint="eastAsia" w:ascii="宋体" w:hAnsi="宋体" w:eastAsia="宋体" w:cs="宋体"/>
          <w:color w:val="auto"/>
          <w:sz w:val="24"/>
        </w:rPr>
        <w:t>：上</w:t>
      </w:r>
      <w:r>
        <w:rPr>
          <w:rFonts w:hint="eastAsia" w:ascii="宋体" w:hAnsi="宋体" w:eastAsia="宋体" w:cs="宋体"/>
          <w:color w:val="auto"/>
          <w:sz w:val="24"/>
          <w:lang w:eastAsia="zh-CN"/>
        </w:rPr>
        <w:t>述</w:t>
      </w:r>
      <w:r>
        <w:rPr>
          <w:rFonts w:hint="eastAsia" w:ascii="宋体" w:hAnsi="宋体" w:eastAsia="宋体" w:cs="宋体"/>
          <w:color w:val="auto"/>
          <w:sz w:val="24"/>
        </w:rPr>
        <w:t>中往返数</w:t>
      </w:r>
      <w:r>
        <w:rPr>
          <w:rFonts w:hint="eastAsia" w:ascii="宋体" w:hAnsi="宋体" w:eastAsia="宋体" w:cs="宋体"/>
          <w:color w:val="auto"/>
          <w:sz w:val="24"/>
          <w:lang w:val="en-US" w:eastAsia="zh-CN"/>
        </w:rPr>
        <w:t>仅</w:t>
      </w:r>
      <w:r>
        <w:rPr>
          <w:rFonts w:hint="eastAsia" w:ascii="宋体" w:hAnsi="宋体" w:eastAsia="宋体" w:cs="宋体"/>
          <w:color w:val="auto"/>
          <w:sz w:val="24"/>
        </w:rPr>
        <w:t>为预估数，最终费用根据实际运行往返数进行核算</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上述工作日安排仅为当前运行，仅供参考，后续根据学校运行实际，工作日及周末、节假日车辆数量及运行时刻做适当调整。</w:t>
      </w:r>
    </w:p>
    <w:p w14:paraId="03E6CDFE">
      <w:pPr>
        <w:pStyle w:val="8"/>
        <w:adjustRightInd w:val="0"/>
        <w:snapToGrid w:val="0"/>
        <w:spacing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通勤班车</w:t>
      </w:r>
      <w:r>
        <w:rPr>
          <w:rFonts w:hint="eastAsia" w:ascii="宋体" w:hAnsi="宋体" w:eastAsia="宋体" w:cs="宋体"/>
          <w:color w:val="auto"/>
          <w:sz w:val="24"/>
        </w:rPr>
        <w:t>行驶路线</w:t>
      </w:r>
      <w:r>
        <w:rPr>
          <w:rFonts w:hint="eastAsia" w:ascii="宋体" w:hAnsi="宋体" w:eastAsia="宋体" w:cs="宋体"/>
          <w:color w:val="auto"/>
          <w:sz w:val="24"/>
          <w:lang w:eastAsia="zh-CN"/>
        </w:rPr>
        <w:t>及要求</w:t>
      </w:r>
    </w:p>
    <w:p w14:paraId="37E01598">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雁塔校区</w:t>
      </w:r>
      <w:r>
        <w:rPr>
          <w:rFonts w:hint="eastAsia" w:ascii="宋体" w:hAnsi="宋体" w:eastAsia="宋体" w:cs="宋体"/>
          <w:color w:val="auto"/>
          <w:sz w:val="24"/>
          <w:lang w:val="en-US" w:eastAsia="zh-CN"/>
        </w:rPr>
        <w:t>---华美十字---长安区---环山路抵达草堂校区。</w:t>
      </w:r>
    </w:p>
    <w:p w14:paraId="58655180">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（2）同一时刻发多辆通勤班车时，在保留途径华美十字一辆之外，其余车辆均高速行驶，高速行驶路线：雁塔校区---曲江高速口上---西沣高速出口下---环山路---草堂校区。</w:t>
      </w:r>
    </w:p>
    <w:p w14:paraId="1EEB3F4E">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（3）行车路线在遇交通堵塞、高速封路、突发天气等情况时会发生改变。</w:t>
      </w:r>
    </w:p>
    <w:p w14:paraId="6DBB2293">
      <w:pPr>
        <w:pStyle w:val="8"/>
        <w:adjustRightInd w:val="0"/>
        <w:snapToGrid w:val="0"/>
        <w:spacing w:line="360" w:lineRule="auto"/>
        <w:ind w:firstLine="482" w:firstLineChars="200"/>
        <w:outlineLvl w:val="2"/>
        <w:rPr>
          <w:rFonts w:hint="eastAsia" w:ascii="宋体" w:hAnsi="宋体" w:eastAsia="宋体" w:cs="宋体"/>
          <w:b/>
          <w:bCs/>
          <w:color w:val="auto"/>
          <w:sz w:val="24"/>
          <w:lang w:val="en-US"/>
        </w:rPr>
      </w:pPr>
      <w:r>
        <w:rPr>
          <w:rFonts w:hint="eastAsia" w:ascii="宋体" w:hAnsi="宋体" w:eastAsia="宋体" w:cs="宋体"/>
          <w:b/>
          <w:bCs/>
          <w:color w:val="auto"/>
          <w:sz w:val="24"/>
          <w:lang w:val="en-US" w:eastAsia="zh-CN"/>
        </w:rPr>
        <w:t>（三）西安建筑科技大学迎新接站和重大活动专项保障车辆要求</w:t>
      </w:r>
    </w:p>
    <w:tbl>
      <w:tblPr>
        <w:tblStyle w:val="5"/>
        <w:tblW w:w="8649" w:type="dxa"/>
        <w:jc w:val="center"/>
        <w:shd w:val="clear" w:color="auto" w:fill="auto"/>
        <w:tblLayout w:type="fixed"/>
        <w:tblCellMar>
          <w:top w:w="0" w:type="dxa"/>
          <w:left w:w="0" w:type="dxa"/>
          <w:bottom w:w="0" w:type="dxa"/>
          <w:right w:w="0" w:type="dxa"/>
        </w:tblCellMar>
      </w:tblPr>
      <w:tblGrid>
        <w:gridCol w:w="1475"/>
        <w:gridCol w:w="2805"/>
        <w:gridCol w:w="1042"/>
        <w:gridCol w:w="1137"/>
        <w:gridCol w:w="2190"/>
      </w:tblGrid>
      <w:tr w14:paraId="71B06132">
        <w:tblPrEx>
          <w:tblCellMar>
            <w:top w:w="0" w:type="dxa"/>
            <w:left w:w="0" w:type="dxa"/>
            <w:bottom w:w="0" w:type="dxa"/>
            <w:right w:w="0" w:type="dxa"/>
          </w:tblCellMar>
        </w:tblPrEx>
        <w:trPr>
          <w:trHeight w:val="904" w:hRule="atLeast"/>
          <w:jc w:val="center"/>
        </w:trPr>
        <w:tc>
          <w:tcPr>
            <w:tcW w:w="14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184662">
            <w:pPr>
              <w:pStyle w:val="8"/>
              <w:adjustRightInd w:val="0"/>
              <w:snapToGrid w:val="0"/>
              <w:spacing w:line="360" w:lineRule="auto"/>
              <w:jc w:val="center"/>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车辆用途</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2D018C">
            <w:pPr>
              <w:pStyle w:val="8"/>
              <w:adjustRightInd w:val="0"/>
              <w:snapToGrid w:val="0"/>
              <w:spacing w:line="360" w:lineRule="auto"/>
              <w:ind w:firstLine="480" w:firstLineChars="200"/>
              <w:jc w:val="center"/>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路线</w:t>
            </w:r>
          </w:p>
        </w:tc>
        <w:tc>
          <w:tcPr>
            <w:tcW w:w="10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9C277">
            <w:pPr>
              <w:pStyle w:val="8"/>
              <w:adjustRightInd w:val="0"/>
              <w:snapToGrid w:val="0"/>
              <w:spacing w:line="360" w:lineRule="auto"/>
              <w:jc w:val="center"/>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发车时间</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CBAD2">
            <w:pPr>
              <w:pStyle w:val="8"/>
              <w:adjustRightInd w:val="0"/>
              <w:snapToGrid w:val="0"/>
              <w:spacing w:line="360" w:lineRule="auto"/>
              <w:jc w:val="center"/>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往返趟</w:t>
            </w:r>
          </w:p>
          <w:p w14:paraId="2DBE9C40">
            <w:pPr>
              <w:pStyle w:val="8"/>
              <w:adjustRightInd w:val="0"/>
              <w:snapToGrid w:val="0"/>
              <w:spacing w:line="360" w:lineRule="auto"/>
              <w:jc w:val="center"/>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（预估）</w:t>
            </w:r>
          </w:p>
        </w:tc>
        <w:tc>
          <w:tcPr>
            <w:tcW w:w="2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49EA5">
            <w:pPr>
              <w:pStyle w:val="8"/>
              <w:adjustRightInd w:val="0"/>
              <w:snapToGrid w:val="0"/>
              <w:spacing w:line="360" w:lineRule="auto"/>
              <w:ind w:firstLine="480" w:firstLineChars="200"/>
              <w:jc w:val="center"/>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车型要求</w:t>
            </w:r>
          </w:p>
        </w:tc>
      </w:tr>
      <w:tr w14:paraId="5DDF4280">
        <w:tblPrEx>
          <w:shd w:val="clear" w:color="auto" w:fill="auto"/>
          <w:tblCellMar>
            <w:top w:w="0" w:type="dxa"/>
            <w:left w:w="0" w:type="dxa"/>
            <w:bottom w:w="0" w:type="dxa"/>
            <w:right w:w="0" w:type="dxa"/>
          </w:tblCellMar>
        </w:tblPrEx>
        <w:trPr>
          <w:trHeight w:val="904" w:hRule="atLeast"/>
          <w:jc w:val="center"/>
        </w:trPr>
        <w:tc>
          <w:tcPr>
            <w:tcW w:w="14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EB9D3F">
            <w:pPr>
              <w:pStyle w:val="8"/>
              <w:adjustRightInd w:val="0"/>
              <w:snapToGrid w:val="0"/>
              <w:spacing w:line="360" w:lineRule="auto"/>
              <w:jc w:val="center"/>
              <w:outlineLvl w:val="2"/>
              <w:rPr>
                <w:rFonts w:hint="default" w:ascii="宋体" w:hAnsi="宋体" w:eastAsia="宋体" w:cs="宋体"/>
                <w:color w:val="auto"/>
                <w:sz w:val="24"/>
                <w:u w:val="none"/>
                <w:lang w:val="en-US"/>
              </w:rPr>
            </w:pPr>
            <w:r>
              <w:rPr>
                <w:rFonts w:hint="eastAsia" w:ascii="宋体" w:hAnsi="宋体" w:eastAsia="宋体" w:cs="宋体"/>
                <w:color w:val="auto"/>
                <w:sz w:val="24"/>
                <w:lang w:val="en-US" w:eastAsia="zh-CN"/>
              </w:rPr>
              <w:t>迎新接站</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F3486">
            <w:pPr>
              <w:pStyle w:val="8"/>
              <w:adjustRightInd w:val="0"/>
              <w:snapToGrid w:val="0"/>
              <w:spacing w:line="360" w:lineRule="auto"/>
              <w:jc w:val="center"/>
              <w:outlineLvl w:val="2"/>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雁塔校区及西安火车站-草堂校区（往返）</w:t>
            </w:r>
          </w:p>
        </w:tc>
        <w:tc>
          <w:tcPr>
            <w:tcW w:w="104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84A7847">
            <w:pPr>
              <w:pStyle w:val="8"/>
              <w:adjustRightInd w:val="0"/>
              <w:snapToGrid w:val="0"/>
              <w:spacing w:line="360" w:lineRule="auto"/>
              <w:jc w:val="center"/>
              <w:outlineLvl w:val="2"/>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具体以采购人实际要求为准</w:t>
            </w: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67124">
            <w:pPr>
              <w:pStyle w:val="8"/>
              <w:adjustRightInd w:val="0"/>
              <w:snapToGrid w:val="0"/>
              <w:spacing w:line="360" w:lineRule="auto"/>
              <w:jc w:val="center"/>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60</w:t>
            </w:r>
          </w:p>
        </w:tc>
        <w:tc>
          <w:tcPr>
            <w:tcW w:w="2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6CCEC">
            <w:pPr>
              <w:pStyle w:val="8"/>
              <w:adjustRightInd w:val="0"/>
              <w:snapToGrid w:val="0"/>
              <w:spacing w:line="360" w:lineRule="auto"/>
              <w:jc w:val="center"/>
              <w:outlineLvl w:val="2"/>
              <w:rPr>
                <w:rFonts w:hint="eastAsia" w:ascii="宋体" w:hAnsi="宋体" w:eastAsia="宋体" w:cs="宋体"/>
                <w:color w:val="auto"/>
                <w:sz w:val="24"/>
              </w:rPr>
            </w:pPr>
            <w:r>
              <w:rPr>
                <w:rFonts w:hint="eastAsia" w:ascii="宋体" w:hAnsi="宋体" w:eastAsia="宋体" w:cs="宋体"/>
                <w:color w:val="auto"/>
                <w:sz w:val="24"/>
                <w:lang w:val="en-US" w:eastAsia="zh-CN"/>
              </w:rPr>
              <w:t>车型：核载49人，或不低于该规格客车。</w:t>
            </w:r>
          </w:p>
        </w:tc>
      </w:tr>
      <w:tr w14:paraId="5B97655E">
        <w:tblPrEx>
          <w:tblCellMar>
            <w:top w:w="0" w:type="dxa"/>
            <w:left w:w="0" w:type="dxa"/>
            <w:bottom w:w="0" w:type="dxa"/>
            <w:right w:w="0" w:type="dxa"/>
          </w:tblCellMar>
        </w:tblPrEx>
        <w:trPr>
          <w:trHeight w:val="913" w:hRule="atLeast"/>
          <w:jc w:val="center"/>
        </w:trPr>
        <w:tc>
          <w:tcPr>
            <w:tcW w:w="14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731E6">
            <w:pPr>
              <w:pStyle w:val="8"/>
              <w:adjustRightInd w:val="0"/>
              <w:snapToGrid w:val="0"/>
              <w:spacing w:line="360" w:lineRule="auto"/>
              <w:jc w:val="center"/>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重大活动专项保障</w:t>
            </w:r>
          </w:p>
        </w:tc>
        <w:tc>
          <w:tcPr>
            <w:tcW w:w="2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A7F61">
            <w:pPr>
              <w:pStyle w:val="8"/>
              <w:adjustRightInd w:val="0"/>
              <w:snapToGrid w:val="0"/>
              <w:spacing w:line="360" w:lineRule="auto"/>
              <w:ind w:firstLine="480" w:firstLineChars="200"/>
              <w:jc w:val="center"/>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雁塔校区-草堂校区、              市内（往返）</w:t>
            </w:r>
          </w:p>
        </w:tc>
        <w:tc>
          <w:tcPr>
            <w:tcW w:w="104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3820E">
            <w:pPr>
              <w:pStyle w:val="8"/>
              <w:adjustRightInd w:val="0"/>
              <w:snapToGrid w:val="0"/>
              <w:spacing w:line="360" w:lineRule="auto"/>
              <w:jc w:val="center"/>
              <w:outlineLvl w:val="2"/>
              <w:rPr>
                <w:rFonts w:hint="eastAsia" w:ascii="宋体" w:hAnsi="宋体" w:eastAsia="宋体" w:cs="宋体"/>
                <w:color w:val="auto"/>
                <w:sz w:val="24"/>
                <w:lang w:val="en-US" w:eastAsia="zh-CN"/>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C99513">
            <w:pPr>
              <w:pStyle w:val="8"/>
              <w:adjustRightInd w:val="0"/>
              <w:snapToGrid w:val="0"/>
              <w:spacing w:line="360" w:lineRule="auto"/>
              <w:jc w:val="center"/>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200</w:t>
            </w:r>
          </w:p>
        </w:tc>
        <w:tc>
          <w:tcPr>
            <w:tcW w:w="21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460D3">
            <w:pPr>
              <w:pStyle w:val="8"/>
              <w:adjustRightInd w:val="0"/>
              <w:snapToGrid w:val="0"/>
              <w:spacing w:line="360" w:lineRule="auto"/>
              <w:jc w:val="center"/>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车型：核载49人，或不低于该规格客车。</w:t>
            </w:r>
          </w:p>
        </w:tc>
      </w:tr>
    </w:tbl>
    <w:p w14:paraId="18646941">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备注：</w:t>
      </w:r>
    </w:p>
    <w:p w14:paraId="6D4D85C5">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1.上表中往返数为预估数，最终费用根据实际运行往返数进行核算。</w:t>
      </w:r>
    </w:p>
    <w:p w14:paraId="7FBEB0DC">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2.新生接站在预计在每年9月初进行，时间约为2天。</w:t>
      </w:r>
    </w:p>
    <w:p w14:paraId="1BD6CE80">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3.上表中迎新接站和重大活动专项保障用车，用车一次性数量集中，时间紧急，用车随机性强，供应商应具备车辆使用运行保障能力。</w:t>
      </w:r>
    </w:p>
    <w:p w14:paraId="2C6E112E">
      <w:pPr>
        <w:pStyle w:val="8"/>
        <w:adjustRightInd w:val="0"/>
        <w:snapToGrid w:val="0"/>
        <w:spacing w:line="360" w:lineRule="auto"/>
        <w:ind w:firstLine="482" w:firstLineChars="200"/>
        <w:outlineLvl w:val="2"/>
        <w:rPr>
          <w:rFonts w:hint="eastAsia" w:ascii="宋体" w:hAnsi="宋体" w:eastAsia="宋体" w:cs="宋体"/>
          <w:b/>
          <w:bCs/>
          <w:color w:val="auto"/>
          <w:sz w:val="24"/>
        </w:rPr>
      </w:pPr>
      <w:r>
        <w:rPr>
          <w:rFonts w:hint="eastAsia" w:ascii="宋体" w:hAnsi="宋体" w:eastAsia="宋体" w:cs="宋体"/>
          <w:b/>
          <w:bCs/>
          <w:color w:val="auto"/>
          <w:sz w:val="24"/>
          <w:lang w:val="en-US" w:eastAsia="zh-CN"/>
        </w:rPr>
        <w:t>（四）运营</w:t>
      </w:r>
      <w:r>
        <w:rPr>
          <w:rFonts w:hint="eastAsia" w:ascii="宋体" w:hAnsi="宋体" w:eastAsia="宋体" w:cs="宋体"/>
          <w:b/>
          <w:bCs/>
          <w:color w:val="auto"/>
          <w:sz w:val="24"/>
        </w:rPr>
        <w:t>车辆配置</w:t>
      </w:r>
      <w:r>
        <w:rPr>
          <w:rFonts w:hint="eastAsia" w:ascii="宋体" w:hAnsi="宋体" w:eastAsia="宋体" w:cs="宋体"/>
          <w:b/>
          <w:bCs/>
          <w:color w:val="auto"/>
          <w:sz w:val="24"/>
          <w:lang w:eastAsia="zh-CN"/>
        </w:rPr>
        <w:t>及</w:t>
      </w:r>
      <w:r>
        <w:rPr>
          <w:rFonts w:hint="eastAsia" w:ascii="宋体" w:hAnsi="宋体" w:eastAsia="宋体" w:cs="宋体"/>
          <w:b/>
          <w:bCs/>
          <w:color w:val="auto"/>
          <w:sz w:val="24"/>
        </w:rPr>
        <w:t>要求</w:t>
      </w:r>
    </w:p>
    <w:p w14:paraId="1B845B32">
      <w:pPr>
        <w:pStyle w:val="8"/>
        <w:adjustRightInd w:val="0"/>
        <w:snapToGrid w:val="0"/>
        <w:spacing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val="en-US" w:eastAsia="zh-CN"/>
        </w:rPr>
        <w:t>.供应商运营的车辆须</w:t>
      </w:r>
      <w:r>
        <w:rPr>
          <w:rFonts w:hint="eastAsia" w:ascii="宋体" w:hAnsi="宋体" w:eastAsia="宋体" w:cs="宋体"/>
          <w:color w:val="auto"/>
          <w:sz w:val="24"/>
        </w:rPr>
        <w:t>符合国家排放标准</w:t>
      </w:r>
      <w:r>
        <w:rPr>
          <w:rFonts w:hint="eastAsia" w:ascii="宋体" w:hAnsi="宋体" w:eastAsia="宋体" w:cs="宋体"/>
          <w:color w:val="auto"/>
          <w:sz w:val="24"/>
          <w:lang w:eastAsia="zh-CN"/>
        </w:rPr>
        <w:t>；</w:t>
      </w:r>
      <w:r>
        <w:rPr>
          <w:rFonts w:hint="eastAsia" w:ascii="宋体" w:hAnsi="宋体" w:eastAsia="宋体" w:cs="宋体"/>
          <w:color w:val="auto"/>
          <w:sz w:val="24"/>
        </w:rPr>
        <w:t>全封闭空调客车，保证车辆的各项技术性能处于良好状态</w:t>
      </w:r>
      <w:r>
        <w:rPr>
          <w:rFonts w:hint="eastAsia" w:ascii="宋体" w:hAnsi="宋体" w:eastAsia="宋体" w:cs="宋体"/>
          <w:color w:val="auto"/>
          <w:sz w:val="24"/>
          <w:lang w:eastAsia="zh-CN"/>
        </w:rPr>
        <w:t>。</w:t>
      </w:r>
    </w:p>
    <w:p w14:paraId="53442D3F">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2.供应商运营的车辆</w:t>
      </w:r>
      <w:r>
        <w:rPr>
          <w:rFonts w:hint="eastAsia" w:ascii="宋体" w:hAnsi="宋体" w:eastAsia="宋体" w:cs="宋体"/>
          <w:color w:val="auto"/>
          <w:sz w:val="24"/>
        </w:rPr>
        <w:t>座椅</w:t>
      </w:r>
      <w:r>
        <w:rPr>
          <w:rFonts w:hint="eastAsia" w:ascii="宋体" w:hAnsi="宋体" w:eastAsia="宋体" w:cs="宋体"/>
          <w:color w:val="auto"/>
          <w:sz w:val="24"/>
          <w:lang w:eastAsia="zh-CN"/>
        </w:rPr>
        <w:t>应具备可</w:t>
      </w:r>
      <w:r>
        <w:rPr>
          <w:rFonts w:hint="eastAsia" w:ascii="宋体" w:hAnsi="宋体" w:eastAsia="宋体" w:cs="宋体"/>
          <w:color w:val="auto"/>
          <w:sz w:val="24"/>
        </w:rPr>
        <w:t>调节</w:t>
      </w:r>
      <w:r>
        <w:rPr>
          <w:rFonts w:hint="eastAsia" w:ascii="宋体" w:hAnsi="宋体" w:eastAsia="宋体" w:cs="宋体"/>
          <w:color w:val="auto"/>
          <w:sz w:val="24"/>
          <w:lang w:eastAsia="zh-CN"/>
        </w:rPr>
        <w:t>功能</w:t>
      </w:r>
      <w:r>
        <w:rPr>
          <w:rFonts w:hint="eastAsia" w:ascii="宋体" w:hAnsi="宋体" w:eastAsia="宋体" w:cs="宋体"/>
          <w:color w:val="auto"/>
          <w:sz w:val="24"/>
        </w:rPr>
        <w:t>，前后距离宽敞舒适</w:t>
      </w:r>
      <w:r>
        <w:rPr>
          <w:rFonts w:hint="eastAsia" w:ascii="宋体" w:hAnsi="宋体" w:eastAsia="宋体" w:cs="宋体"/>
          <w:color w:val="auto"/>
          <w:sz w:val="24"/>
          <w:lang w:eastAsia="zh-CN"/>
        </w:rPr>
        <w:t>。</w:t>
      </w:r>
    </w:p>
    <w:p w14:paraId="1AD4E150">
      <w:pPr>
        <w:pStyle w:val="8"/>
        <w:adjustRightInd w:val="0"/>
        <w:snapToGrid w:val="0"/>
        <w:spacing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3.供应商运营的车辆</w:t>
      </w:r>
      <w:r>
        <w:rPr>
          <w:rFonts w:hint="eastAsia" w:ascii="宋体" w:hAnsi="宋体" w:eastAsia="宋体" w:cs="宋体"/>
          <w:color w:val="auto"/>
          <w:sz w:val="24"/>
        </w:rPr>
        <w:t>车辆要求配备视频监控设施及卫星定位系统</w:t>
      </w:r>
      <w:r>
        <w:rPr>
          <w:rFonts w:hint="eastAsia" w:ascii="宋体" w:hAnsi="宋体" w:eastAsia="宋体" w:cs="宋体"/>
          <w:color w:val="auto"/>
          <w:sz w:val="24"/>
          <w:lang w:eastAsia="zh-CN"/>
        </w:rPr>
        <w:t>。</w:t>
      </w:r>
    </w:p>
    <w:p w14:paraId="3815FEA3">
      <w:pPr>
        <w:pStyle w:val="8"/>
        <w:adjustRightInd w:val="0"/>
        <w:snapToGrid w:val="0"/>
        <w:spacing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4.供应商运营的车辆应</w:t>
      </w:r>
      <w:r>
        <w:rPr>
          <w:rFonts w:hint="eastAsia" w:ascii="宋体" w:hAnsi="宋体" w:eastAsia="宋体" w:cs="宋体"/>
          <w:color w:val="auto"/>
          <w:sz w:val="24"/>
        </w:rPr>
        <w:t>配置行车记录仪</w:t>
      </w:r>
      <w:r>
        <w:rPr>
          <w:rFonts w:hint="eastAsia" w:ascii="宋体" w:hAnsi="宋体" w:eastAsia="宋体" w:cs="宋体"/>
          <w:color w:val="auto"/>
          <w:sz w:val="24"/>
          <w:lang w:eastAsia="zh-CN"/>
        </w:rPr>
        <w:t>。</w:t>
      </w:r>
    </w:p>
    <w:p w14:paraId="2DC0913F">
      <w:pPr>
        <w:pStyle w:val="8"/>
        <w:adjustRightInd w:val="0"/>
        <w:snapToGrid w:val="0"/>
        <w:spacing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5.供应商运营的车辆应</w:t>
      </w:r>
      <w:r>
        <w:rPr>
          <w:rFonts w:hint="eastAsia" w:ascii="宋体" w:hAnsi="宋体" w:eastAsia="宋体" w:cs="宋体"/>
          <w:color w:val="auto"/>
          <w:sz w:val="24"/>
        </w:rPr>
        <w:t>配备多媒体系统、对讲系统等</w:t>
      </w:r>
      <w:r>
        <w:rPr>
          <w:rFonts w:hint="eastAsia" w:ascii="宋体" w:hAnsi="宋体" w:eastAsia="宋体" w:cs="宋体"/>
          <w:color w:val="auto"/>
          <w:sz w:val="24"/>
          <w:lang w:eastAsia="zh-CN"/>
        </w:rPr>
        <w:t>功能。</w:t>
      </w:r>
    </w:p>
    <w:p w14:paraId="0FB35A90">
      <w:pPr>
        <w:pStyle w:val="8"/>
        <w:adjustRightInd w:val="0"/>
        <w:snapToGrid w:val="0"/>
        <w:spacing w:line="360" w:lineRule="auto"/>
        <w:ind w:firstLine="480" w:firstLineChars="200"/>
        <w:outlineLvl w:val="2"/>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6.供应商</w:t>
      </w:r>
      <w:r>
        <w:rPr>
          <w:rFonts w:hint="eastAsia" w:ascii="宋体" w:hAnsi="宋体" w:eastAsia="宋体" w:cs="宋体"/>
          <w:color w:val="auto"/>
          <w:sz w:val="24"/>
        </w:rPr>
        <w:t>车辆安全要求：所用车辆必须配有安全锤、灭火器等消防设备，同时定期对紧急逃生门、逃生窗进行</w:t>
      </w:r>
      <w:r>
        <w:rPr>
          <w:rFonts w:hint="eastAsia" w:ascii="宋体" w:hAnsi="宋体" w:eastAsia="宋体" w:cs="宋体"/>
          <w:color w:val="auto"/>
          <w:sz w:val="24"/>
          <w:lang w:val="en-US" w:eastAsia="zh-CN"/>
        </w:rPr>
        <w:t>检查</w:t>
      </w:r>
      <w:r>
        <w:rPr>
          <w:rFonts w:hint="eastAsia" w:ascii="宋体" w:hAnsi="宋体" w:eastAsia="宋体" w:cs="宋体"/>
          <w:color w:val="auto"/>
          <w:sz w:val="24"/>
        </w:rPr>
        <w:t>，保证能够正常使用。所有消防设备及逃生设备需要有明显标识，易看易懂，不得遮挡</w:t>
      </w:r>
      <w:r>
        <w:rPr>
          <w:rFonts w:hint="eastAsia" w:ascii="宋体" w:hAnsi="宋体" w:eastAsia="宋体" w:cs="宋体"/>
          <w:color w:val="auto"/>
          <w:sz w:val="24"/>
          <w:lang w:eastAsia="zh-CN"/>
        </w:rPr>
        <w:t>。</w:t>
      </w:r>
    </w:p>
    <w:p w14:paraId="7010DB4F">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lang w:val="en-US" w:eastAsia="zh-CN"/>
        </w:rPr>
        <w:t>7.供应商应拥有符合</w:t>
      </w:r>
      <w:r>
        <w:rPr>
          <w:rFonts w:hint="eastAsia" w:ascii="宋体" w:hAnsi="宋体" w:eastAsia="宋体" w:cs="宋体"/>
          <w:color w:val="auto"/>
          <w:sz w:val="24"/>
          <w:highlight w:val="none"/>
          <w:lang w:val="en-US" w:eastAsia="zh-CN"/>
        </w:rPr>
        <w:t>国家道路运输管理要求的自有产权营运车辆（行驶证单位与供应商名称一致）数量在40辆以上，且每辆车必须有“道路营运证”，能及时有效保障学校临时突发用车需求。</w:t>
      </w:r>
    </w:p>
    <w:p w14:paraId="4BABA5CC">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供应商应提供符合国家道路运输管理要求的自有产权车辆投入作为通勤班车使用。车辆座位数应≥49座，证照齐全，车况符合国家客（营）运车辆标准，整体车况良好（供应商应提供车辆保养维修记录以及保险理赔记录）。车辆保险齐全（包括交强险、第三者责任险及承运人责任险），车内乘客险每座赔付金额≥人民币50万元。</w:t>
      </w:r>
    </w:p>
    <w:p w14:paraId="1E4130CD">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9.供应商应配备至少1名固定车辆调度管理员，该管理员要求具备高校通勤车调度管理经验，主要配合采购人完成对车辆调度和现场管理工作。</w:t>
      </w:r>
    </w:p>
    <w:p w14:paraId="2869B3EB">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10.供应商应提供与驾驶员签订的有效劳动合同，并提供自2024年1月1日以来不少于6个月缴纳社会保障的证明材料。</w:t>
      </w:r>
    </w:p>
    <w:p w14:paraId="2CEF3D79">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供应商提供服务的车辆技术状况必须良好，保证办理好该车正常行驶所需的各种证件及规定缴费证齐全，车上配备灭火器及警示性标志牌。车厢内外需整洁卫生、车窗明亮，且应做到每日清洁；定期对车厢进行消毒，喷洒空气清新剂；每个座椅必须配备便于拆洗方便的座套或皮质座椅，每月更换一次，保持洁净；车厢内应配备小药箱。</w:t>
      </w:r>
    </w:p>
    <w:p w14:paraId="75DF6668">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12.供应商应按照核定线路运行，按照规定站点停靠，按规定的时间地点备车和发车，不绕道行驶、兜圈，不无故在途中更换车辆。</w:t>
      </w:r>
    </w:p>
    <w:p w14:paraId="5EA24C3C">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13.供应商服务保障时，车辆做到准时到达接送地点，并确保车容整洁，车质车况良好；司乘人员待客文明礼貌，协助采购人落实租用车辆的各项计划，保证正常用车。</w:t>
      </w:r>
    </w:p>
    <w:p w14:paraId="23A01D64">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14.供应商如遇车辆中途出现故障，不能及时修复，应马上另派车辆接送职工，并不得额外加收费用。</w:t>
      </w:r>
    </w:p>
    <w:p w14:paraId="4A42A59D">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15.在服务保障期间，行车载客必须遵守交通依法行驶规则，如造成交通事故或乘客损害，要服从交警的现场指挥，并负责处理事故的相关事宜。</w:t>
      </w:r>
    </w:p>
    <w:p w14:paraId="3FB77D5B">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16.供应商须按采购人要求的时间至少提前30分钟以上到达指定地点载客（不可抗拒因素除外，双方可协商解决），如通勤班车超时（10分钟以上）未到达指定地点的，采购人可要求供应商作出相应赔偿：减去当日当次班车租金及支付采购人因当日当次班车误时而另乘其它交通工具费用（凭有效单据）。</w:t>
      </w:r>
    </w:p>
    <w:p w14:paraId="51FADDA1">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17.供应商须按采购人预先确定的行车路线并按采购人商议的站点沿途上落站，相对固定车辆、固定驾驶员。一旦车辆发生故障，供应商要尽快调派车辆（含驾驶员）确保采购人职工到达终点，如在30分钟内未能调派车辆将由供应商报销采购人另行租车的费用。（提供承诺书并加盖单位公章）</w:t>
      </w:r>
    </w:p>
    <w:p w14:paraId="614AFB52">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18.供应商保证所有营运车辆车况良好和准时出车，确保车辆正常营运。行车载客时必须遵守交通规则，合理操作确保采购人乘客乘车及上下安全，如因违章行车或供应商驾驶员操作不合理发生交通事故而造成乘客及学校损失的，按国家《道路交通事故处理方法》的有关规定，一切费用由供应商负责赔偿。</w:t>
      </w:r>
    </w:p>
    <w:p w14:paraId="5F6C3A1C">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19.供应商自行承担服务车辆的油料费、维修费、路桥费以及人员（含驾驶员）工资、保险等一切费用。</w:t>
      </w:r>
    </w:p>
    <w:p w14:paraId="74DD9B0C">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20.供应商提供服务的车辆必须是状况良好，设备齐全，具备有效的道路运输营运证、行驶证等；供应商提供的资料应保证真实有效，否则就此产生的责任均由供应商承担。</w:t>
      </w:r>
    </w:p>
    <w:p w14:paraId="4F8DA866">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21.在服务期限内，供应商必须确保在约定的时间内提供足够同等条件的车辆及人员为采购人提供服务，供应商所提供的车辆需符合国家规定的安全环保等要求，车辆在使用期间如确需维修、保养，或季审、年审、接受定期检审及其它经采购人认可的合理因素而造成需要暂停运行时，供应商应调派同等条件的车辆和驾驶人员供采购人使用及服务。</w:t>
      </w:r>
    </w:p>
    <w:p w14:paraId="13CA6988">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22.如因供应商原因，不能在约定的时间内提供服务的，采购人有权向供应商发出整改通知，违反三次以上的，有权终止供应商的服务资格。</w:t>
      </w:r>
    </w:p>
    <w:p w14:paraId="15BE831B">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23.供应商应在响应文件中提供拟投入所有服务车辆的最新彩色照片及行驶证复印件（原件中标后备查），提供服务的车辆必须是核定有固定座位的车辆。</w:t>
      </w:r>
    </w:p>
    <w:p w14:paraId="028030C2">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24.车厢内在显著位置需张贴线路表、服务承诺，公布乘客投诉电话，设置禁烟标志。</w:t>
      </w:r>
    </w:p>
    <w:p w14:paraId="34494324">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25.每次行程结束后均按规定做好消杀及防疫工作。</w:t>
      </w:r>
    </w:p>
    <w:p w14:paraId="30E5E84E">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26.供应商应认真执行“三检”（出车前、行驶中、收车后）制度，做好车辆例行保养工作，遵守交通法规，安全运行。</w:t>
      </w:r>
    </w:p>
    <w:p w14:paraId="4A9B1E8E">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27.供应商应按核定人数载人，严禁超员、严禁“三品”（易燃、易爆、危险品）上车。</w:t>
      </w:r>
    </w:p>
    <w:p w14:paraId="5FC864AD">
      <w:pPr>
        <w:pStyle w:val="8"/>
        <w:adjustRightInd w:val="0"/>
        <w:snapToGrid w:val="0"/>
        <w:spacing w:line="360" w:lineRule="auto"/>
        <w:ind w:firstLine="482" w:firstLineChars="20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（六）运营保障人员要求</w:t>
      </w:r>
    </w:p>
    <w:p w14:paraId="20CA581B">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配备的所有随车驾驶员必须符合国家相关规定,所有证件齐全。驾驶员出车时着统一服装，衣着整齐干净，保持良好精神，遵守采购人规章制度，礼貌对待客人，保证按时到位，车容整洁，安全平稳行车，服从采购人的合理安排，并在主要行车线路上按采购人所要求上下车地点接送客人(违反交通规则的地点除外)，如有违反，采购人有权要求更换驾驶员。</w:t>
      </w:r>
    </w:p>
    <w:p w14:paraId="2A780601">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供应商配备的车辆驾驶员年龄应不超过55周岁,具有5年以上驾驶经验,且近3年内无重大交通事故责任记录，熟悉西安市道路,安全文明驾驶,并保持车辆清洁，需提供所有拟派驾驶员的驾驶证复印件（加盖公章）等证明资料。</w:t>
      </w:r>
    </w:p>
    <w:p w14:paraId="3634BA49">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3.供应商应定期组织上岗上线人员的专业礼仪培训。</w:t>
      </w:r>
    </w:p>
    <w:p w14:paraId="0AF92C8B">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4.供应商拟派车辆驾驶员应做好学生乘车刷卡监督工作，服从采购人车辆管理人员管理，有责任心和大局意识，如不服从管理或违反采购人管理制度，采购人有权要求供应商更换驾驶员。</w:t>
      </w:r>
    </w:p>
    <w:p w14:paraId="7F47C120">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供应商上岗员工（含驾驶员）必须具有责任心强，服务态度良好，着装统一、佩戴工牌，做到文明礼貌、大方得体、面带微笑、态度和蔼可亲，车辆的空调、音像、卫生等设施符合要求，并确保车容整洁，车质车况良好；员工（含驾驶员）待客文明礼貌，协助采购人代表落实租用车辆的各项计划，保证采购人的正常用车。</w:t>
      </w:r>
    </w:p>
    <w:p w14:paraId="66101F4B">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6.供应商应严格遵守各项规章制度及操作规范。</w:t>
      </w:r>
    </w:p>
    <w:p w14:paraId="6115FAC2">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7.驾驶人员不得带病、赌气、疲劳及酒后驾驶；因违反交通法则而导致的一切后果均由供应商自行负责，如造成采购人方面任何损失的，供应商须赔偿采购人全部损失。</w:t>
      </w:r>
    </w:p>
    <w:p w14:paraId="5A479853">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8.供应商应经常检查员工（含驾驶员）的服务工作质量；对凡因服务态度或工作质量问题导致造成严重影响时，不能再安排其在通勤班车工作。</w:t>
      </w:r>
    </w:p>
    <w:p w14:paraId="35587828">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9.因供应商员工（含驾驶员）的失职、渎职、违反规章制度导致人身伤害及由此引起的各种纠纷，由供应商承担全部责任。</w:t>
      </w:r>
    </w:p>
    <w:p w14:paraId="27A4F5C1">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10.无论因何种原因，供应商的上岗员工（含驾驶员）都不得与采购人的职工或乘客发生争吵或斗殴。一旦有此类事件发生，全部责任由供应商承担并承担相应的经济赔偿。</w:t>
      </w:r>
    </w:p>
    <w:p w14:paraId="1D947423">
      <w:pPr>
        <w:pStyle w:val="8"/>
        <w:adjustRightInd w:val="0"/>
        <w:snapToGrid w:val="0"/>
        <w:spacing w:line="360" w:lineRule="auto"/>
        <w:ind w:firstLine="480" w:firstLineChars="200"/>
        <w:outlineLvl w:val="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11.供应商派出人员的工资、福利、医疗、保险均由供应商与员工（含驾驶员）商定。如发生劳资纠纷，由供应商解决，采购人不承担任何责任。</w:t>
      </w:r>
    </w:p>
    <w:p w14:paraId="799B520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三</w:t>
      </w:r>
      <w:r>
        <w:rPr>
          <w:rFonts w:hint="eastAsia" w:ascii="宋体" w:hAnsi="宋体" w:eastAsia="宋体" w:cs="宋体"/>
          <w:b/>
          <w:bCs/>
          <w:sz w:val="24"/>
          <w:szCs w:val="24"/>
          <w:highlight w:val="none"/>
          <w:lang w:val="en-US" w:eastAsia="zh-CN"/>
        </w:rPr>
        <w:t>、服务期限、服务地点及响应报价要求</w:t>
      </w:r>
    </w:p>
    <w:p w14:paraId="74C92BD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（一）服务期限及服务地点</w:t>
      </w:r>
    </w:p>
    <w:p w14:paraId="1A8B209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1. 服务期限：</w:t>
      </w:r>
      <w:r>
        <w:rPr>
          <w:rFonts w:hint="default" w:ascii="宋体" w:hAnsi="宋体" w:eastAsia="宋体" w:cs="宋体"/>
          <w:b w:val="0"/>
          <w:bCs w:val="0"/>
          <w:sz w:val="24"/>
          <w:szCs w:val="24"/>
          <w:lang w:val="en-US" w:eastAsia="zh-CN"/>
        </w:rPr>
        <w:t>三年（合同一年一签，每年考核一次，依据考核结果决定是否续签下一年服务合同，最多续签两次）</w:t>
      </w:r>
    </w:p>
    <w:p w14:paraId="59661CB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2.服务地点：</w:t>
      </w:r>
      <w:r>
        <w:rPr>
          <w:rFonts w:hint="eastAsia" w:ascii="宋体" w:hAnsi="宋体" w:eastAsia="宋体" w:cs="宋体"/>
          <w:b w:val="0"/>
          <w:bCs w:val="0"/>
          <w:sz w:val="24"/>
          <w:szCs w:val="24"/>
          <w:lang w:val="en-US" w:eastAsia="zh-CN"/>
        </w:rPr>
        <w:t>甲方指定地点。</w:t>
      </w:r>
    </w:p>
    <w:p w14:paraId="4419E3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（二）响应报价要求：</w:t>
      </w:r>
    </w:p>
    <w:p w14:paraId="459CD6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rPr>
      </w:pPr>
      <w:r>
        <w:rPr>
          <w:rFonts w:hint="eastAsia" w:ascii="宋体" w:hAnsi="宋体" w:eastAsia="宋体" w:cs="Times New Roman"/>
          <w:b w:val="0"/>
          <w:bCs/>
          <w:sz w:val="24"/>
          <w:highlight w:val="none"/>
          <w:lang w:val="en-US" w:eastAsia="zh-CN"/>
        </w:rPr>
        <w:t>自主填报，本项目为固定</w:t>
      </w:r>
      <w:r>
        <w:rPr>
          <w:rFonts w:hint="eastAsia" w:ascii="宋体" w:hAnsi="宋体" w:cs="Times New Roman"/>
          <w:b w:val="0"/>
          <w:bCs/>
          <w:sz w:val="24"/>
          <w:highlight w:val="none"/>
          <w:lang w:val="en-US" w:eastAsia="zh-CN"/>
        </w:rPr>
        <w:t>单</w:t>
      </w:r>
      <w:r>
        <w:rPr>
          <w:rFonts w:hint="eastAsia" w:ascii="宋体" w:hAnsi="宋体" w:eastAsia="宋体" w:cs="Times New Roman"/>
          <w:b w:val="0"/>
          <w:bCs/>
          <w:sz w:val="24"/>
          <w:highlight w:val="none"/>
          <w:lang w:val="en-US" w:eastAsia="zh-CN"/>
        </w:rPr>
        <w:t>价合同。</w:t>
      </w:r>
      <w:r>
        <w:rPr>
          <w:rFonts w:hint="eastAsia" w:ascii="宋体" w:hAnsi="宋体" w:eastAsia="宋体" w:cs="宋体"/>
          <w:b w:val="0"/>
          <w:bCs w:val="0"/>
          <w:sz w:val="24"/>
          <w:szCs w:val="24"/>
          <w:highlight w:val="none"/>
          <w:lang w:eastAsia="zh-CN"/>
        </w:rPr>
        <w:t>乙方</w:t>
      </w:r>
      <w:r>
        <w:rPr>
          <w:rFonts w:hint="eastAsia" w:ascii="宋体" w:hAnsi="宋体" w:eastAsia="宋体" w:cs="宋体"/>
          <w:b w:val="0"/>
          <w:bCs w:val="0"/>
          <w:sz w:val="24"/>
          <w:szCs w:val="24"/>
          <w:highlight w:val="none"/>
        </w:rPr>
        <w:t>须按</w:t>
      </w:r>
      <w:r>
        <w:rPr>
          <w:rFonts w:hint="eastAsia" w:ascii="宋体" w:hAnsi="宋体" w:eastAsia="宋体" w:cs="宋体"/>
          <w:b w:val="0"/>
          <w:bCs w:val="0"/>
          <w:sz w:val="24"/>
          <w:szCs w:val="24"/>
          <w:highlight w:val="none"/>
          <w:lang w:eastAsia="zh-CN"/>
        </w:rPr>
        <w:t>报价内容填报</w:t>
      </w:r>
      <w:r>
        <w:rPr>
          <w:rFonts w:hint="eastAsia" w:ascii="宋体" w:hAnsi="宋体" w:eastAsia="宋体" w:cs="宋体"/>
          <w:b w:val="0"/>
          <w:bCs w:val="0"/>
          <w:sz w:val="24"/>
          <w:szCs w:val="24"/>
          <w:highlight w:val="none"/>
        </w:rPr>
        <w:t>报出综合单价</w:t>
      </w:r>
      <w:r>
        <w:rPr>
          <w:rFonts w:hint="eastAsia" w:ascii="宋体" w:hAnsi="宋体" w:eastAsia="宋体" w:cs="宋体"/>
          <w:b w:val="0"/>
          <w:bCs w:val="0"/>
          <w:sz w:val="24"/>
          <w:szCs w:val="24"/>
          <w:highlight w:val="none"/>
          <w:lang w:eastAsia="zh-CN"/>
        </w:rPr>
        <w:t>（格式详见附件）</w:t>
      </w:r>
      <w:r>
        <w:rPr>
          <w:rFonts w:hint="eastAsia" w:ascii="宋体" w:hAnsi="宋体" w:eastAsia="宋体" w:cs="宋体"/>
          <w:b w:val="0"/>
          <w:bCs w:val="0"/>
          <w:sz w:val="24"/>
          <w:szCs w:val="24"/>
          <w:highlight w:val="none"/>
        </w:rPr>
        <w:t>，并按照</w:t>
      </w:r>
      <w:r>
        <w:rPr>
          <w:rFonts w:hint="eastAsia" w:ascii="宋体" w:hAnsi="宋体" w:eastAsia="宋体" w:cs="宋体"/>
          <w:b w:val="0"/>
          <w:bCs w:val="0"/>
          <w:sz w:val="24"/>
          <w:szCs w:val="24"/>
          <w:highlight w:val="none"/>
          <w:lang w:eastAsia="zh-CN"/>
        </w:rPr>
        <w:t>暂定往返趟次填报响应</w:t>
      </w:r>
      <w:r>
        <w:rPr>
          <w:rFonts w:hint="eastAsia" w:ascii="宋体" w:hAnsi="宋体" w:eastAsia="宋体" w:cs="宋体"/>
          <w:b w:val="0"/>
          <w:bCs w:val="0"/>
          <w:sz w:val="24"/>
          <w:szCs w:val="24"/>
          <w:highlight w:val="none"/>
        </w:rPr>
        <w:t>总价。</w:t>
      </w:r>
      <w:r>
        <w:rPr>
          <w:rFonts w:hint="eastAsia" w:ascii="宋体" w:hAnsi="宋体" w:eastAsia="宋体" w:cs="宋体"/>
          <w:sz w:val="24"/>
          <w:szCs w:val="24"/>
          <w:highlight w:val="none"/>
          <w:lang w:eastAsia="zh-CN"/>
        </w:rPr>
        <w:t>响应</w:t>
      </w:r>
      <w:r>
        <w:rPr>
          <w:rFonts w:hint="eastAsia" w:ascii="宋体" w:hAnsi="宋体" w:cs="宋体"/>
          <w:sz w:val="24"/>
          <w:szCs w:val="24"/>
          <w:highlight w:val="none"/>
        </w:rPr>
        <w:t>报价应是完成本次采购范围内所需服务的相应全部费用</w:t>
      </w:r>
      <w:r>
        <w:rPr>
          <w:rFonts w:hint="eastAsia" w:ascii="宋体" w:hAnsi="宋体" w:eastAsia="宋体" w:cs="宋体"/>
          <w:b w:val="0"/>
          <w:bCs w:val="0"/>
          <w:sz w:val="24"/>
          <w:szCs w:val="24"/>
          <w:highlight w:val="none"/>
          <w:lang w:eastAsia="zh-CN"/>
        </w:rPr>
        <w:t>，包含</w:t>
      </w:r>
      <w:r>
        <w:rPr>
          <w:rFonts w:hint="eastAsia" w:ascii="宋体" w:hAnsi="宋体" w:eastAsia="宋体" w:cs="宋体"/>
          <w:b w:val="0"/>
          <w:bCs w:val="0"/>
          <w:sz w:val="24"/>
          <w:szCs w:val="24"/>
          <w:highlight w:val="none"/>
        </w:rPr>
        <w:t>租赁车辆的季审、年审、轮胎、维修、燃料、供养、税金、营运费、管理费、人员人工、工具器材、损耗品及材料、购置乘客意外事故险等一切费用等与之相关的一且直接费、间接费。</w:t>
      </w:r>
    </w:p>
    <w:p w14:paraId="148B540E">
      <w:pPr>
        <w:pStyle w:val="4"/>
        <w:keepNext w:val="0"/>
        <w:keepLines w:val="0"/>
        <w:pageBreakBefore w:val="0"/>
        <w:widowControl w:val="0"/>
        <w:kinsoku/>
        <w:wordWrap/>
        <w:overflowPunct/>
        <w:topLinePunct w:val="0"/>
        <w:autoSpaceDE/>
        <w:autoSpaceDN/>
        <w:bidi w:val="0"/>
        <w:adjustRightInd/>
        <w:snapToGrid/>
        <w:spacing w:after="0" w:line="360" w:lineRule="auto"/>
        <w:ind w:left="479" w:leftChars="228" w:right="0" w:firstLine="0" w:firstLineChars="0"/>
        <w:textAlignment w:val="auto"/>
        <w:rPr>
          <w:rFonts w:hint="eastAsia" w:ascii="宋体" w:hAnsi="宋体" w:eastAsia="宋体" w:cs="宋体"/>
          <w:b/>
          <w:bCs/>
          <w:color w:val="auto"/>
          <w:spacing w:val="-2"/>
          <w:sz w:val="24"/>
          <w:szCs w:val="24"/>
          <w:highlight w:val="none"/>
        </w:rPr>
      </w:pPr>
      <w:r>
        <w:rPr>
          <w:rFonts w:hint="eastAsia" w:ascii="宋体" w:hAnsi="宋体" w:eastAsia="宋体" w:cs="宋体"/>
          <w:b/>
          <w:bCs/>
          <w:sz w:val="24"/>
          <w:szCs w:val="24"/>
          <w:highlight w:val="none"/>
          <w:lang w:val="en-US" w:eastAsia="zh-CN"/>
        </w:rPr>
        <w:t>（三）服务质量要求：</w:t>
      </w:r>
      <w:r>
        <w:rPr>
          <w:rFonts w:hint="eastAsia" w:ascii="宋体" w:hAnsi="宋体" w:eastAsia="宋体" w:cs="宋体"/>
          <w:b w:val="0"/>
          <w:bCs w:val="0"/>
          <w:sz w:val="24"/>
          <w:szCs w:val="24"/>
          <w:highlight w:val="none"/>
        </w:rPr>
        <w:t>合格，符合国家强制性规范及</w:t>
      </w:r>
      <w:r>
        <w:rPr>
          <w:rFonts w:hint="eastAsia" w:hAnsi="宋体" w:eastAsia="宋体" w:cs="宋体"/>
          <w:b w:val="0"/>
          <w:bCs w:val="0"/>
          <w:sz w:val="24"/>
          <w:szCs w:val="24"/>
          <w:highlight w:val="none"/>
          <w:lang w:eastAsia="zh-CN"/>
        </w:rPr>
        <w:t>甲方</w:t>
      </w:r>
      <w:r>
        <w:rPr>
          <w:rFonts w:hint="eastAsia" w:ascii="宋体" w:hAnsi="宋体" w:eastAsia="宋体" w:cs="宋体"/>
          <w:b w:val="0"/>
          <w:bCs w:val="0"/>
          <w:sz w:val="24"/>
          <w:szCs w:val="24"/>
          <w:highlight w:val="none"/>
        </w:rPr>
        <w:t>要求。</w:t>
      </w:r>
      <w:r>
        <w:rPr>
          <w:rFonts w:hint="eastAsia" w:ascii="宋体" w:hAnsi="宋体" w:eastAsia="宋体" w:cs="宋体"/>
          <w:b w:val="0"/>
          <w:bCs w:val="0"/>
          <w:sz w:val="24"/>
          <w:szCs w:val="24"/>
          <w:highlight w:val="none"/>
        </w:rPr>
        <w:br w:type="textWrapping"/>
      </w:r>
      <w:r>
        <w:rPr>
          <w:rFonts w:hint="eastAsia" w:ascii="宋体" w:hAnsi="宋体" w:eastAsia="宋体" w:cs="宋体"/>
          <w:b/>
          <w:bCs/>
          <w:kern w:val="2"/>
          <w:sz w:val="24"/>
          <w:szCs w:val="24"/>
          <w:lang w:val="en-US" w:eastAsia="zh-CN" w:bidi="ar-SA"/>
        </w:rPr>
        <w:t>四、租车价格及结算方式</w:t>
      </w:r>
    </w:p>
    <w:p w14:paraId="06295CD4">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4"/>
          <w:szCs w:val="24"/>
          <w:highlight w:val="none"/>
          <w:lang w:val="en-US" w:eastAsia="zh-CN"/>
        </w:rPr>
        <w:t>1.通勤班车结算方式：</w:t>
      </w:r>
      <w:r>
        <w:rPr>
          <w:rFonts w:hint="eastAsia" w:ascii="宋体" w:hAnsi="宋体" w:eastAsia="宋体" w:cs="宋体"/>
          <w:b w:val="0"/>
          <w:bCs w:val="0"/>
          <w:sz w:val="24"/>
          <w:szCs w:val="24"/>
          <w:highlight w:val="none"/>
          <w:lang w:val="en-US" w:eastAsia="zh-CN"/>
        </w:rPr>
        <w:t>乙方每月10日前向甲方列出上月所发生通勤班车的车次及运费，甲方于30日内审核完毕后，乙方向甲方开具符合要求的发票，甲方在收到乙方发票后30个工作日内向乙方支付审定后的费用，预节假日、寒暑假期间顺延。</w:t>
      </w:r>
    </w:p>
    <w:p w14:paraId="4E52F97E">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val="en-US" w:eastAsia="zh-CN"/>
        </w:rPr>
        <w:t>教学保障用车结算方式：</w:t>
      </w:r>
      <w:r>
        <w:rPr>
          <w:rFonts w:hint="eastAsia" w:ascii="宋体" w:hAnsi="宋体" w:eastAsia="宋体" w:cs="宋体"/>
          <w:b w:val="0"/>
          <w:bCs w:val="0"/>
          <w:sz w:val="24"/>
          <w:szCs w:val="24"/>
          <w:highlight w:val="none"/>
          <w:lang w:val="en-US" w:eastAsia="zh-CN"/>
        </w:rPr>
        <w:t>乙方在教学期间每月10日前向甲方列出上月所发生的车次及运费，甲方于30日内审核完毕后，乙方向甲方开具符合要求的发票，甲方在收到乙方发票后30个工作日内向乙方支付审定后的费用。</w:t>
      </w:r>
    </w:p>
    <w:p w14:paraId="236267AC">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lang w:val="en-US" w:eastAsia="zh-CN"/>
        </w:rPr>
        <w:t>迎新接站保障用车结算方式：</w:t>
      </w:r>
      <w:r>
        <w:rPr>
          <w:rFonts w:hint="eastAsia" w:ascii="宋体" w:hAnsi="宋体" w:eastAsia="宋体" w:cs="宋体"/>
          <w:b w:val="0"/>
          <w:bCs w:val="0"/>
          <w:sz w:val="24"/>
          <w:szCs w:val="24"/>
          <w:highlight w:val="none"/>
          <w:lang w:val="en-US" w:eastAsia="zh-CN"/>
        </w:rPr>
        <w:t>乙方在迎新活动结束后向甲方列出迎新期间所发生的车次及运费，并提供迎新期间所有盖章的发车凭证，甲方于30日内审核完毕后，乙方向甲方开具符合要求的发票，甲方在收到乙方发票后30个工作日内向乙方支付审定后的费用。</w:t>
      </w:r>
    </w:p>
    <w:p w14:paraId="5A76ACAB">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lang w:val="en-US" w:eastAsia="zh-CN"/>
        </w:rPr>
        <w:t>重大活动专项保障用车结算方式：</w:t>
      </w:r>
      <w:r>
        <w:rPr>
          <w:rFonts w:hint="eastAsia" w:ascii="宋体" w:hAnsi="宋体" w:eastAsia="宋体" w:cs="宋体"/>
          <w:b w:val="0"/>
          <w:bCs w:val="0"/>
          <w:sz w:val="24"/>
          <w:szCs w:val="24"/>
          <w:highlight w:val="none"/>
          <w:lang w:val="en-US" w:eastAsia="zh-CN"/>
        </w:rPr>
        <w:t>重大活动保障用车根据用车情况进行据实结算，活动结束后乙方向甲方列出活动期间所发生的车次及运费，并提供活动期间所有盖章的发车凭证，甲方于30日内审核完毕后，乙方向甲方开具符合要求的发票，甲方在收到乙方发票后30个工作日内向乙方支付审定后的费用。</w:t>
      </w:r>
    </w:p>
    <w:p w14:paraId="3FB3C7AE">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乙方指定的银行账户信息：</w:t>
      </w:r>
    </w:p>
    <w:p w14:paraId="17FEC037">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default" w:ascii="宋体" w:hAnsi="宋体" w:eastAsia="宋体" w:cs="宋体"/>
          <w:spacing w:val="-2"/>
          <w:sz w:val="24"/>
          <w:szCs w:val="24"/>
          <w:highlight w:val="none"/>
          <w:u w:val="single"/>
          <w:lang w:val="en-US" w:eastAsia="zh-CN"/>
        </w:rPr>
      </w:pPr>
      <w:r>
        <w:rPr>
          <w:rFonts w:hint="eastAsia" w:ascii="宋体" w:hAnsi="宋体" w:eastAsia="宋体" w:cs="宋体"/>
          <w:spacing w:val="-2"/>
          <w:sz w:val="24"/>
          <w:szCs w:val="24"/>
          <w:highlight w:val="none"/>
        </w:rPr>
        <w:t>账户名称:</w:t>
      </w:r>
      <w:r>
        <w:rPr>
          <w:rFonts w:hint="eastAsia" w:ascii="宋体" w:hAnsi="宋体" w:eastAsia="宋体" w:cs="宋体"/>
          <w:spacing w:val="-2"/>
          <w:sz w:val="24"/>
          <w:szCs w:val="24"/>
          <w:highlight w:val="none"/>
          <w:u w:val="single"/>
          <w:lang w:val="en-US" w:eastAsia="zh-CN"/>
        </w:rPr>
        <w:t xml:space="preserve">                   </w:t>
      </w:r>
    </w:p>
    <w:p w14:paraId="6EFC78C5">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开户银行:</w:t>
      </w:r>
      <w:r>
        <w:rPr>
          <w:rFonts w:hint="eastAsia" w:ascii="宋体" w:hAnsi="宋体" w:eastAsia="宋体" w:cs="宋体"/>
          <w:spacing w:val="-2"/>
          <w:sz w:val="24"/>
          <w:szCs w:val="24"/>
          <w:highlight w:val="none"/>
          <w:u w:val="single"/>
          <w:lang w:val="en-US" w:eastAsia="zh-CN"/>
        </w:rPr>
        <w:t xml:space="preserve">                   </w:t>
      </w:r>
    </w:p>
    <w:p w14:paraId="42DAE361">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default" w:ascii="宋体" w:hAnsi="宋体" w:eastAsia="宋体" w:cs="宋体"/>
          <w:spacing w:val="-2"/>
          <w:sz w:val="24"/>
          <w:szCs w:val="24"/>
          <w:highlight w:val="none"/>
          <w:lang w:val="en-US"/>
        </w:rPr>
      </w:pPr>
      <w:r>
        <w:rPr>
          <w:rFonts w:hint="eastAsia" w:ascii="宋体" w:hAnsi="宋体" w:eastAsia="宋体" w:cs="宋体"/>
          <w:spacing w:val="-2"/>
          <w:sz w:val="24"/>
          <w:szCs w:val="24"/>
          <w:highlight w:val="none"/>
        </w:rPr>
        <w:t>账号:</w:t>
      </w:r>
      <w:r>
        <w:rPr>
          <w:rFonts w:hint="eastAsia" w:ascii="宋体" w:hAnsi="宋体" w:eastAsia="宋体" w:cs="宋体"/>
          <w:spacing w:val="-2"/>
          <w:sz w:val="24"/>
          <w:szCs w:val="24"/>
          <w:highlight w:val="none"/>
          <w:u w:val="single"/>
          <w:lang w:val="en-US" w:eastAsia="zh-CN"/>
        </w:rPr>
        <w:t xml:space="preserve">                       </w:t>
      </w:r>
    </w:p>
    <w:p w14:paraId="5FCF6C99">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甲方开票信息:</w:t>
      </w:r>
      <w:r>
        <w:rPr>
          <w:rFonts w:hint="eastAsia" w:ascii="宋体" w:hAnsi="宋体" w:eastAsia="宋体" w:cs="宋体"/>
          <w:spacing w:val="-2"/>
          <w:sz w:val="24"/>
          <w:szCs w:val="24"/>
          <w:highlight w:val="none"/>
          <w:u w:val="single"/>
          <w:lang w:val="en-US" w:eastAsia="zh-CN"/>
        </w:rPr>
        <w:t xml:space="preserve">               </w:t>
      </w:r>
    </w:p>
    <w:p w14:paraId="2E3AF469">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default"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名 称</w:t>
      </w:r>
      <w:r>
        <w:rPr>
          <w:rFonts w:hint="eastAsia" w:ascii="宋体" w:hAnsi="宋体" w:eastAsia="宋体" w:cs="宋体"/>
          <w:spacing w:val="-2"/>
          <w:sz w:val="24"/>
          <w:szCs w:val="24"/>
          <w:highlight w:val="none"/>
          <w:lang w:val="en-US" w:eastAsia="zh-CN"/>
        </w:rPr>
        <w:t>：</w:t>
      </w:r>
      <w:r>
        <w:rPr>
          <w:rFonts w:hint="eastAsia" w:ascii="宋体" w:hAnsi="宋体" w:eastAsia="宋体" w:cs="宋体"/>
          <w:spacing w:val="-2"/>
          <w:sz w:val="24"/>
          <w:szCs w:val="24"/>
          <w:highlight w:val="none"/>
          <w:u w:val="single"/>
          <w:lang w:val="en-US" w:eastAsia="zh-CN"/>
        </w:rPr>
        <w:t xml:space="preserve">                     </w:t>
      </w:r>
    </w:p>
    <w:p w14:paraId="2049BF42">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开户行:</w:t>
      </w:r>
      <w:r>
        <w:rPr>
          <w:rFonts w:hint="eastAsia" w:ascii="宋体" w:hAnsi="宋体" w:eastAsia="宋体" w:cs="宋体"/>
          <w:spacing w:val="-2"/>
          <w:sz w:val="24"/>
          <w:szCs w:val="24"/>
          <w:highlight w:val="none"/>
          <w:u w:val="single"/>
          <w:lang w:val="en-US" w:eastAsia="zh-CN"/>
        </w:rPr>
        <w:t xml:space="preserve">                     </w:t>
      </w:r>
    </w:p>
    <w:p w14:paraId="19EC2DE8">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default" w:ascii="宋体" w:hAnsi="宋体" w:eastAsia="宋体" w:cs="宋体"/>
          <w:spacing w:val="-2"/>
          <w:sz w:val="24"/>
          <w:szCs w:val="24"/>
          <w:highlight w:val="none"/>
          <w:lang w:val="en-US"/>
        </w:rPr>
      </w:pPr>
      <w:r>
        <w:rPr>
          <w:rFonts w:hint="eastAsia" w:ascii="宋体" w:hAnsi="宋体" w:eastAsia="宋体" w:cs="宋体"/>
          <w:spacing w:val="-2"/>
          <w:sz w:val="24"/>
          <w:szCs w:val="24"/>
          <w:highlight w:val="none"/>
        </w:rPr>
        <w:t>账 号:</w:t>
      </w:r>
      <w:r>
        <w:rPr>
          <w:rFonts w:hint="eastAsia" w:ascii="宋体" w:hAnsi="宋体" w:eastAsia="宋体" w:cs="宋体"/>
          <w:spacing w:val="-2"/>
          <w:sz w:val="24"/>
          <w:szCs w:val="24"/>
          <w:highlight w:val="none"/>
          <w:u w:val="single"/>
          <w:lang w:val="en-US" w:eastAsia="zh-CN"/>
        </w:rPr>
        <w:t xml:space="preserve">                      </w:t>
      </w:r>
    </w:p>
    <w:p w14:paraId="293F8094">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四、甲方权利义务</w:t>
      </w:r>
    </w:p>
    <w:p w14:paraId="306B4859">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lang w:val="zh-CN" w:eastAsia="zh-CN"/>
        </w:rPr>
      </w:pPr>
      <w:r>
        <w:rPr>
          <w:rFonts w:hint="eastAsia" w:ascii="宋体" w:hAnsi="宋体" w:eastAsia="宋体" w:cs="宋体"/>
          <w:spacing w:val="-2"/>
          <w:sz w:val="24"/>
          <w:szCs w:val="24"/>
          <w:highlight w:val="none"/>
          <w:lang w:val="zh-CN" w:eastAsia="zh-CN"/>
        </w:rPr>
        <w:t xml:space="preserve">(一)甲方按照本合同约定向乙方支付车辆服务费用。 </w:t>
      </w:r>
    </w:p>
    <w:p w14:paraId="7AD82615">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lang w:val="zh-CN" w:eastAsia="zh-CN"/>
        </w:rPr>
      </w:pPr>
      <w:r>
        <w:rPr>
          <w:rFonts w:hint="eastAsia" w:ascii="宋体" w:hAnsi="宋体" w:eastAsia="宋体" w:cs="宋体"/>
          <w:spacing w:val="-2"/>
          <w:sz w:val="24"/>
          <w:szCs w:val="24"/>
          <w:highlight w:val="none"/>
          <w:lang w:val="zh-CN" w:eastAsia="zh-CN"/>
        </w:rPr>
        <w:t>(二)甲方有权要求乙方提供符合行业要求的车辆和驾驶员。</w:t>
      </w:r>
    </w:p>
    <w:p w14:paraId="09979661">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lang w:val="zh-CN" w:eastAsia="zh-CN"/>
        </w:rPr>
      </w:pPr>
      <w:r>
        <w:rPr>
          <w:rFonts w:hint="eastAsia" w:ascii="宋体" w:hAnsi="宋体" w:eastAsia="宋体" w:cs="宋体"/>
          <w:spacing w:val="-2"/>
          <w:sz w:val="24"/>
          <w:szCs w:val="24"/>
          <w:highlight w:val="none"/>
          <w:lang w:val="zh-CN" w:eastAsia="zh-CN"/>
        </w:rPr>
        <w:t>(三)甲方临时改变车辆用途，需提前一个工作日向乙方提出车辆需求，以便乙方安排车辆及驾驶员。</w:t>
      </w:r>
    </w:p>
    <w:p w14:paraId="04E8E5D3">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lang w:val="zh-CN" w:eastAsia="zh-CN"/>
        </w:rPr>
      </w:pPr>
      <w:r>
        <w:rPr>
          <w:rFonts w:hint="eastAsia" w:ascii="宋体" w:hAnsi="宋体" w:eastAsia="宋体" w:cs="宋体"/>
          <w:spacing w:val="-2"/>
          <w:sz w:val="24"/>
          <w:szCs w:val="24"/>
          <w:highlight w:val="none"/>
          <w:lang w:val="zh-CN" w:eastAsia="zh-CN"/>
        </w:rPr>
        <w:t>(</w:t>
      </w:r>
      <w:r>
        <w:rPr>
          <w:rFonts w:hint="eastAsia" w:ascii="宋体" w:hAnsi="宋体" w:eastAsia="宋体" w:cs="宋体"/>
          <w:spacing w:val="-2"/>
          <w:sz w:val="24"/>
          <w:szCs w:val="24"/>
          <w:highlight w:val="none"/>
          <w:lang w:val="en-US" w:eastAsia="zh-CN"/>
        </w:rPr>
        <w:t>四</w:t>
      </w:r>
      <w:r>
        <w:rPr>
          <w:rFonts w:hint="eastAsia" w:ascii="宋体" w:hAnsi="宋体" w:eastAsia="宋体" w:cs="宋体"/>
          <w:spacing w:val="-2"/>
          <w:sz w:val="24"/>
          <w:szCs w:val="24"/>
          <w:highlight w:val="none"/>
          <w:lang w:val="zh-CN" w:eastAsia="zh-CN"/>
        </w:rPr>
        <w:t>)甲方单方面终止或解除合同，需提前三天以书面方式通知乙方。</w:t>
      </w:r>
    </w:p>
    <w:p w14:paraId="2B269110">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五、乙方权利义务</w:t>
      </w:r>
    </w:p>
    <w:p w14:paraId="1124D737">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(一)乙方保证提供车况保养良好、交管年检合格、车况 安全可靠的车辆，符合国家法律法规要求，无任何产权、违 章等纠纷，车辆性能满足甲方工作需求。</w:t>
      </w:r>
    </w:p>
    <w:p w14:paraId="673579AD">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(二)乙方给甲方提供的车辆必须购买机动车交通事故 强制保险、机动车第三者责任险和车上人员责任险等商业全险。</w:t>
      </w:r>
    </w:p>
    <w:p w14:paraId="117D60CD">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 xml:space="preserve">(三)乙方配备的驾驶员健康有相关健康证明、具有 5 年以上驾驶 A </w:t>
      </w:r>
      <w:r>
        <w:rPr>
          <w:rFonts w:hint="eastAsia" w:ascii="宋体" w:hAnsi="宋体" w:eastAsia="宋体" w:cs="宋体"/>
          <w:spacing w:val="-2"/>
          <w:sz w:val="24"/>
          <w:szCs w:val="24"/>
          <w:highlight w:val="none"/>
          <w:lang w:val="en-US" w:eastAsia="zh-CN"/>
        </w:rPr>
        <w:t>1</w:t>
      </w:r>
      <w:r>
        <w:rPr>
          <w:rFonts w:hint="eastAsia" w:ascii="宋体" w:hAnsi="宋体" w:eastAsia="宋体" w:cs="宋体"/>
          <w:spacing w:val="-2"/>
          <w:sz w:val="24"/>
          <w:szCs w:val="24"/>
          <w:highlight w:val="none"/>
        </w:rPr>
        <w:t>型车的驾驶经验、人员固定，提供</w:t>
      </w:r>
      <w:r>
        <w:rPr>
          <w:rFonts w:hint="eastAsia" w:ascii="宋体" w:hAnsi="宋体" w:eastAsia="宋体" w:cs="宋体"/>
          <w:spacing w:val="-2"/>
          <w:sz w:val="24"/>
          <w:szCs w:val="24"/>
          <w:highlight w:val="none"/>
          <w:lang w:val="en-US" w:eastAsia="zh-CN"/>
        </w:rPr>
        <w:t>劳动合同及社保证明</w:t>
      </w:r>
      <w:r>
        <w:rPr>
          <w:rFonts w:hint="eastAsia" w:ascii="宋体" w:hAnsi="宋体" w:eastAsia="宋体" w:cs="宋体"/>
          <w:spacing w:val="-2"/>
          <w:sz w:val="24"/>
          <w:szCs w:val="24"/>
          <w:highlight w:val="none"/>
        </w:rPr>
        <w:t>。</w:t>
      </w:r>
    </w:p>
    <w:p w14:paraId="1E57EFA4">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(四)乙方给甲方提供的车辆如发生故障，乙方必须立即修理和维护，或用备用车辆顶替，确保甲方用车。</w:t>
      </w:r>
    </w:p>
    <w:p w14:paraId="75A625C8">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(五)车辆消杀由驾驶员按</w:t>
      </w:r>
      <w:r>
        <w:rPr>
          <w:rFonts w:hint="eastAsia" w:ascii="宋体" w:hAnsi="宋体" w:eastAsia="宋体" w:cs="宋体"/>
          <w:spacing w:val="-2"/>
          <w:sz w:val="24"/>
          <w:szCs w:val="24"/>
          <w:highlight w:val="none"/>
          <w:lang w:val="en-US" w:eastAsia="zh-CN"/>
        </w:rPr>
        <w:t>相关</w:t>
      </w:r>
      <w:r>
        <w:rPr>
          <w:rFonts w:hint="eastAsia" w:ascii="宋体" w:hAnsi="宋体" w:eastAsia="宋体" w:cs="宋体"/>
          <w:spacing w:val="-2"/>
          <w:sz w:val="24"/>
          <w:szCs w:val="24"/>
          <w:highlight w:val="none"/>
        </w:rPr>
        <w:t>要求完成。</w:t>
      </w:r>
    </w:p>
    <w:p w14:paraId="670218A5">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(六)乙方给甲方提供的车辆必须保证清洁卫生，对乘坐人员产生的乘车垃圾应及时清理，做到车辆内外干净、整洁。</w:t>
      </w:r>
    </w:p>
    <w:p w14:paraId="33F6554F">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(七)合同期内，乙方对派驻的驾驶员应加强安全教育， 遵守国家有关法律法规、安全行车，因乙方驾驶员违法、违纪、违章所造成的法律责任由乙方自行负责，并承担行驶过程中因自身驾驶责任造成车辆及人员的损害损失。</w:t>
      </w:r>
    </w:p>
    <w:p w14:paraId="734310FF">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(八)合同期内，因乙方驾驶员违章违规或乙方车辆故障导致甲方工作人员遭受损害，由乙方承担赔偿责任(包含但不限于甲方工作人员医疗费、误工损失等)。</w:t>
      </w:r>
    </w:p>
    <w:p w14:paraId="22262076">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(九)合同期内，乙方驾驶发生交通事故，</w:t>
      </w:r>
      <w:r>
        <w:rPr>
          <w:rFonts w:hint="eastAsia" w:ascii="宋体" w:hAnsi="宋体" w:eastAsia="宋体" w:cs="宋体"/>
          <w:spacing w:val="-2"/>
          <w:sz w:val="24"/>
          <w:szCs w:val="24"/>
          <w:highlight w:val="none"/>
          <w:lang w:eastAsia="zh-CN"/>
        </w:rPr>
        <w:t>事故由乙方处理，</w:t>
      </w:r>
      <w:r>
        <w:rPr>
          <w:rFonts w:hint="eastAsia" w:ascii="宋体" w:hAnsi="宋体" w:eastAsia="宋体" w:cs="宋体"/>
          <w:spacing w:val="-2"/>
          <w:sz w:val="24"/>
          <w:szCs w:val="24"/>
          <w:highlight w:val="none"/>
          <w:lang w:val="en-US" w:eastAsia="zh-CN"/>
        </w:rPr>
        <w:t>所有责任由乙方承担</w:t>
      </w:r>
      <w:r>
        <w:rPr>
          <w:rFonts w:hint="eastAsia" w:ascii="宋体" w:hAnsi="宋体" w:eastAsia="宋体" w:cs="宋体"/>
          <w:spacing w:val="-2"/>
          <w:sz w:val="24"/>
          <w:szCs w:val="24"/>
          <w:highlight w:val="none"/>
        </w:rPr>
        <w:t>。</w:t>
      </w:r>
    </w:p>
    <w:p w14:paraId="3517FD3A">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(十)因车辆自然折旧耗损造成的损失和故障，以及因车辆本身质量、缺陷、不足等原因发生的损失和故障，由乙方承担责任。</w:t>
      </w:r>
    </w:p>
    <w:p w14:paraId="46EECF16">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lang w:eastAsia="zh-CN"/>
        </w:rPr>
        <w:t>（十一）</w:t>
      </w:r>
      <w:r>
        <w:rPr>
          <w:rFonts w:hint="eastAsia" w:ascii="宋体" w:hAnsi="宋体" w:eastAsia="宋体" w:cs="宋体"/>
          <w:spacing w:val="-2"/>
          <w:sz w:val="24"/>
          <w:szCs w:val="24"/>
          <w:highlight w:val="none"/>
        </w:rPr>
        <w:t>乙方车辆在行驶中如遇有交通事故等不可抗力意外事件由乙方自行负责。</w:t>
      </w:r>
    </w:p>
    <w:p w14:paraId="320360B2">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六、保密条款</w:t>
      </w:r>
    </w:p>
    <w:p w14:paraId="507D91CE">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(一)任何一方对其获知的本合同涉及的所有有形、无形 的信息及资料(包括但不限于甲乙双方的往来书面文字文 件、电子邮件及信息、软盘资料等)中另一方的商业秘密或 国家秘密负有保密义务。</w:t>
      </w:r>
    </w:p>
    <w:p w14:paraId="217879DE">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二)除非法律、法规另有规定或得到本合同另一方的书面许可，任何一方不得向第三人泄露前款规定的商业秘密或国家秘密。保密期限自任何一方获知该商业秘密或国家秘密之日起至本条规定的秘密成为公众信息之日止。</w:t>
      </w:r>
    </w:p>
    <w:p w14:paraId="4A446189">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七、违约责任</w:t>
      </w:r>
    </w:p>
    <w:p w14:paraId="12538669">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双方应严格按照本合同履行义务，若未能履行起义务而造成的损失，需承担违约责任。</w:t>
      </w:r>
    </w:p>
    <w:p w14:paraId="0C3E7E56">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八、争议的解决</w:t>
      </w:r>
    </w:p>
    <w:p w14:paraId="68CA07BC">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在执行本合同中发生与本合同有关的争端，甲乙双方应通过友好协商解决，经协商在 30 日内不能达成协议时，任一方可向碑林区人民法院起诉。</w:t>
      </w:r>
    </w:p>
    <w:p w14:paraId="0870DB40">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九、其他约定</w:t>
      </w:r>
    </w:p>
    <w:p w14:paraId="00BA333A">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(一)本合同一式陆份，甲乙双方各执叁份，每份合同具 有同等的法律效力。本合同自甲乙双方签字盖章之日起生效。</w:t>
      </w:r>
    </w:p>
    <w:p w14:paraId="2BB45AC6">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（二）</w:t>
      </w:r>
      <w:r>
        <w:rPr>
          <w:rFonts w:hint="eastAsia" w:ascii="宋体" w:hAnsi="宋体" w:cs="宋体"/>
          <w:spacing w:val="-2"/>
          <w:sz w:val="24"/>
          <w:szCs w:val="24"/>
          <w:highlight w:val="none"/>
          <w:lang w:val="en-US" w:eastAsia="zh-CN"/>
        </w:rPr>
        <w:t>竞争性磋商</w:t>
      </w:r>
      <w:r>
        <w:rPr>
          <w:rFonts w:hint="eastAsia" w:ascii="宋体" w:hAnsi="宋体" w:eastAsia="宋体" w:cs="宋体"/>
          <w:spacing w:val="-2"/>
          <w:sz w:val="24"/>
          <w:szCs w:val="24"/>
          <w:highlight w:val="none"/>
        </w:rPr>
        <w:t>文件、</w:t>
      </w:r>
      <w:r>
        <w:rPr>
          <w:rFonts w:hint="eastAsia" w:ascii="宋体" w:hAnsi="宋体" w:cs="宋体"/>
          <w:spacing w:val="-2"/>
          <w:sz w:val="24"/>
          <w:szCs w:val="24"/>
          <w:highlight w:val="none"/>
          <w:lang w:val="en-US" w:eastAsia="zh-CN"/>
        </w:rPr>
        <w:t>响应</w:t>
      </w:r>
      <w:r>
        <w:rPr>
          <w:rFonts w:hint="eastAsia" w:ascii="宋体" w:hAnsi="宋体" w:eastAsia="宋体" w:cs="宋体"/>
          <w:spacing w:val="-2"/>
          <w:sz w:val="24"/>
          <w:szCs w:val="24"/>
          <w:highlight w:val="none"/>
        </w:rPr>
        <w:t>文件、答疑文件作为本合同的附件，同本合同具有同等法律效力。</w:t>
      </w:r>
    </w:p>
    <w:p w14:paraId="436BA77E">
      <w:pPr>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tbl>
      <w:tblPr>
        <w:tblStyle w:val="6"/>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0"/>
        <w:gridCol w:w="4270"/>
      </w:tblGrid>
      <w:tr w14:paraId="39BEC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270" w:type="dxa"/>
            <w:tcBorders>
              <w:top w:val="nil"/>
              <w:left w:val="nil"/>
              <w:bottom w:val="nil"/>
              <w:right w:val="nil"/>
            </w:tcBorders>
            <w:noWrap w:val="0"/>
            <w:vAlign w:val="top"/>
          </w:tcPr>
          <w:p w14:paraId="7699B62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vertAlign w:val="baseline"/>
              </w:rPr>
              <w:t>甲方（盖章）</w:t>
            </w:r>
            <w:r>
              <w:rPr>
                <w:rFonts w:hint="eastAsia" w:ascii="宋体" w:hAnsi="宋体" w:cs="宋体"/>
                <w:sz w:val="24"/>
                <w:szCs w:val="24"/>
                <w:highlight w:val="none"/>
                <w:vertAlign w:val="baseline"/>
                <w:lang w:eastAsia="zh-CN"/>
              </w:rPr>
              <w:t>：</w:t>
            </w:r>
          </w:p>
        </w:tc>
        <w:tc>
          <w:tcPr>
            <w:tcW w:w="4270" w:type="dxa"/>
            <w:tcBorders>
              <w:top w:val="nil"/>
              <w:left w:val="nil"/>
              <w:bottom w:val="nil"/>
              <w:right w:val="nil"/>
            </w:tcBorders>
            <w:noWrap w:val="0"/>
            <w:vAlign w:val="top"/>
          </w:tcPr>
          <w:p w14:paraId="59FA091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vertAlign w:val="baseline"/>
              </w:rPr>
            </w:pPr>
            <w:r>
              <w:rPr>
                <w:rFonts w:hint="eastAsia" w:ascii="宋体" w:hAnsi="宋体" w:cs="宋体"/>
                <w:sz w:val="24"/>
                <w:szCs w:val="24"/>
                <w:highlight w:val="none"/>
                <w:vertAlign w:val="baseline"/>
                <w:lang w:eastAsia="zh-CN"/>
              </w:rPr>
              <w:t>乙方</w:t>
            </w:r>
            <w:r>
              <w:rPr>
                <w:rFonts w:hint="eastAsia" w:ascii="宋体" w:hAnsi="宋体" w:eastAsia="宋体" w:cs="宋体"/>
                <w:sz w:val="24"/>
                <w:szCs w:val="24"/>
                <w:highlight w:val="none"/>
                <w:vertAlign w:val="baseline"/>
              </w:rPr>
              <w:t>（盖章）</w:t>
            </w:r>
            <w:r>
              <w:rPr>
                <w:rFonts w:hint="eastAsia" w:ascii="宋体" w:hAnsi="宋体" w:cs="宋体"/>
                <w:sz w:val="24"/>
                <w:szCs w:val="24"/>
                <w:highlight w:val="none"/>
                <w:vertAlign w:val="baseline"/>
                <w:lang w:eastAsia="zh-CN"/>
              </w:rPr>
              <w:t>：</w:t>
            </w:r>
          </w:p>
        </w:tc>
      </w:tr>
      <w:tr w14:paraId="15122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270" w:type="dxa"/>
            <w:tcBorders>
              <w:top w:val="nil"/>
              <w:left w:val="nil"/>
              <w:bottom w:val="nil"/>
              <w:right w:val="nil"/>
            </w:tcBorders>
            <w:noWrap w:val="0"/>
            <w:vAlign w:val="top"/>
          </w:tcPr>
          <w:p w14:paraId="13A1FF1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vertAlign w:val="baseline"/>
              </w:rPr>
              <w:t>法定代表人（签字）：</w:t>
            </w:r>
          </w:p>
        </w:tc>
        <w:tc>
          <w:tcPr>
            <w:tcW w:w="4270" w:type="dxa"/>
            <w:tcBorders>
              <w:top w:val="nil"/>
              <w:left w:val="nil"/>
              <w:bottom w:val="nil"/>
              <w:right w:val="nil"/>
            </w:tcBorders>
            <w:noWrap w:val="0"/>
            <w:vAlign w:val="top"/>
          </w:tcPr>
          <w:p w14:paraId="2B43006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vertAlign w:val="baseline"/>
              </w:rPr>
            </w:pPr>
            <w:r>
              <w:rPr>
                <w:rFonts w:hint="eastAsia" w:ascii="宋体" w:hAnsi="宋体" w:eastAsia="宋体" w:cs="宋体"/>
                <w:sz w:val="24"/>
                <w:szCs w:val="24"/>
                <w:highlight w:val="none"/>
                <w:vertAlign w:val="baseline"/>
              </w:rPr>
              <w:t>法定代表人（签字）：</w:t>
            </w:r>
          </w:p>
        </w:tc>
      </w:tr>
      <w:tr w14:paraId="5436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270" w:type="dxa"/>
            <w:tcBorders>
              <w:top w:val="nil"/>
              <w:left w:val="nil"/>
              <w:bottom w:val="nil"/>
              <w:right w:val="nil"/>
            </w:tcBorders>
            <w:noWrap w:val="0"/>
            <w:vAlign w:val="top"/>
          </w:tcPr>
          <w:p w14:paraId="1B8CE9E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vertAlign w:val="baseline"/>
              </w:rPr>
              <w:t>联系电话：</w:t>
            </w:r>
          </w:p>
        </w:tc>
        <w:tc>
          <w:tcPr>
            <w:tcW w:w="4270" w:type="dxa"/>
            <w:tcBorders>
              <w:top w:val="nil"/>
              <w:left w:val="nil"/>
              <w:bottom w:val="nil"/>
              <w:right w:val="nil"/>
            </w:tcBorders>
            <w:noWrap w:val="0"/>
            <w:vAlign w:val="top"/>
          </w:tcPr>
          <w:p w14:paraId="24D01F0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vertAlign w:val="baseline"/>
              </w:rPr>
            </w:pPr>
            <w:r>
              <w:rPr>
                <w:rFonts w:hint="eastAsia" w:ascii="宋体" w:hAnsi="宋体" w:eastAsia="宋体" w:cs="宋体"/>
                <w:sz w:val="24"/>
                <w:szCs w:val="24"/>
                <w:highlight w:val="none"/>
                <w:vertAlign w:val="baseline"/>
              </w:rPr>
              <w:t>联系电话：</w:t>
            </w:r>
          </w:p>
        </w:tc>
      </w:tr>
      <w:tr w14:paraId="2C750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270" w:type="dxa"/>
            <w:tcBorders>
              <w:top w:val="nil"/>
              <w:left w:val="nil"/>
              <w:bottom w:val="nil"/>
              <w:right w:val="nil"/>
            </w:tcBorders>
            <w:noWrap w:val="0"/>
            <w:vAlign w:val="top"/>
          </w:tcPr>
          <w:p w14:paraId="7F463AF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vertAlign w:val="baseline"/>
              </w:rPr>
              <w:t>通讯地址：</w:t>
            </w:r>
          </w:p>
        </w:tc>
        <w:tc>
          <w:tcPr>
            <w:tcW w:w="4270" w:type="dxa"/>
            <w:tcBorders>
              <w:top w:val="nil"/>
              <w:left w:val="nil"/>
              <w:bottom w:val="nil"/>
              <w:right w:val="nil"/>
            </w:tcBorders>
            <w:noWrap w:val="0"/>
            <w:vAlign w:val="top"/>
          </w:tcPr>
          <w:p w14:paraId="7720E0B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vertAlign w:val="baseline"/>
              </w:rPr>
            </w:pPr>
            <w:r>
              <w:rPr>
                <w:rFonts w:hint="eastAsia" w:ascii="宋体" w:hAnsi="宋体" w:eastAsia="宋体" w:cs="宋体"/>
                <w:sz w:val="24"/>
                <w:szCs w:val="24"/>
                <w:highlight w:val="none"/>
                <w:vertAlign w:val="baseline"/>
              </w:rPr>
              <w:t>通讯地址：</w:t>
            </w:r>
          </w:p>
        </w:tc>
      </w:tr>
      <w:tr w14:paraId="1AE13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270" w:type="dxa"/>
            <w:tcBorders>
              <w:top w:val="nil"/>
              <w:left w:val="nil"/>
              <w:bottom w:val="nil"/>
              <w:right w:val="nil"/>
            </w:tcBorders>
            <w:noWrap w:val="0"/>
            <w:vAlign w:val="top"/>
          </w:tcPr>
          <w:p w14:paraId="14739FB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vertAlign w:val="baseline"/>
              </w:rPr>
              <w:t>时 间 :</w:t>
            </w:r>
          </w:p>
        </w:tc>
        <w:tc>
          <w:tcPr>
            <w:tcW w:w="4270" w:type="dxa"/>
            <w:tcBorders>
              <w:top w:val="nil"/>
              <w:left w:val="nil"/>
              <w:bottom w:val="nil"/>
              <w:right w:val="nil"/>
            </w:tcBorders>
            <w:noWrap w:val="0"/>
            <w:vAlign w:val="top"/>
          </w:tcPr>
          <w:p w14:paraId="3E4A6FB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vertAlign w:val="baseline"/>
              </w:rPr>
            </w:pPr>
            <w:r>
              <w:rPr>
                <w:rFonts w:hint="eastAsia" w:ascii="宋体" w:hAnsi="宋体" w:eastAsia="宋体" w:cs="宋体"/>
                <w:sz w:val="24"/>
                <w:szCs w:val="24"/>
                <w:highlight w:val="none"/>
                <w:vertAlign w:val="baseline"/>
              </w:rPr>
              <w:t>时 间 :</w:t>
            </w:r>
          </w:p>
        </w:tc>
      </w:tr>
    </w:tbl>
    <w:p w14:paraId="028FC0E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sz w:val="24"/>
          <w:szCs w:val="24"/>
          <w:highlight w:val="none"/>
        </w:rPr>
        <w:t>附：营业执照、委托书、受托人身份证</w:t>
      </w:r>
      <w:r>
        <w:rPr>
          <w:rFonts w:hint="eastAsia" w:ascii="宋体" w:hAnsi="宋体" w:cs="宋体"/>
          <w:sz w:val="24"/>
          <w:szCs w:val="24"/>
          <w:highlight w:val="none"/>
          <w:lang w:eastAsia="zh-CN"/>
        </w:rPr>
        <w:t>。</w:t>
      </w:r>
    </w:p>
    <w:p w14:paraId="17C7AEC8">
      <w:pPr>
        <w:pStyle w:val="8"/>
        <w:adjustRightInd w:val="0"/>
        <w:snapToGrid w:val="0"/>
        <w:spacing w:line="360" w:lineRule="auto"/>
        <w:ind w:firstLine="480" w:firstLineChars="200"/>
        <w:rPr>
          <w:rFonts w:hint="default" w:ascii="宋体" w:hAnsi="宋体" w:eastAsia="宋体" w:cs="宋体"/>
          <w:sz w:val="24"/>
          <w:szCs w:val="24"/>
        </w:rPr>
      </w:pPr>
    </w:p>
    <w:p w14:paraId="02EE5A3F">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332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4">
    <w:name w:val="Body Text"/>
    <w:basedOn w:val="1"/>
    <w:next w:val="1"/>
    <w:qFormat/>
    <w:uiPriority w:val="0"/>
    <w:pPr>
      <w:wordWrap w:val="0"/>
      <w:autoSpaceDE w:val="0"/>
      <w:autoSpaceDN w:val="0"/>
      <w:spacing w:after="120"/>
    </w:pPr>
    <w:rPr>
      <w:rFonts w:ascii="宋体"/>
      <w:sz w:val="20"/>
      <w:lang w:eastAsia="ko-K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2025-06-10T08:48:24Z</dcterms:created>
  <dc:creator>A</dc:creator>
  <cp:lastModifiedBy>开瑞</cp:lastModifiedBy>
  <dcterms:modified xsi:type="dcterms:W3CDTF">2025-06-10T08:49:04Z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3042D4F409D74A5D857B652E7C401C1B_12</vt:lpwstr>
  </property>
</Properties>
</file>