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办法，自行拟定驾驶员及</w:t>
      </w:r>
      <w:r>
        <w:rPr>
          <w:rFonts w:hint="eastAsia"/>
          <w:b/>
          <w:bCs/>
          <w:sz w:val="24"/>
          <w:szCs w:val="24"/>
          <w:lang w:val="en-US" w:eastAsia="zh-CN"/>
        </w:rPr>
        <w:t>管理</w:t>
      </w:r>
      <w:r>
        <w:rPr>
          <w:rFonts w:hint="eastAsia"/>
          <w:b/>
          <w:bCs/>
          <w:sz w:val="24"/>
          <w:szCs w:val="24"/>
          <w:lang w:eastAsia="zh-CN"/>
        </w:rPr>
        <w:t>人员团队及承诺。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1554B"/>
    <w:rsid w:val="33480A01"/>
    <w:rsid w:val="37876130"/>
    <w:rsid w:val="42E24D00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2025-06-10T11:29:36Z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